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7F69" w14:textId="5665620A" w:rsidR="0085177F" w:rsidRPr="00B2710F" w:rsidRDefault="009654E0" w:rsidP="00B2710F">
      <w:pPr>
        <w:jc w:val="center"/>
        <w:rPr>
          <w:b/>
          <w:bCs/>
          <w:sz w:val="28"/>
          <w:szCs w:val="24"/>
        </w:rPr>
      </w:pPr>
      <w:r w:rsidRPr="00B2710F">
        <w:rPr>
          <w:b/>
          <w:bCs/>
          <w:sz w:val="28"/>
          <w:szCs w:val="24"/>
        </w:rPr>
        <w:t>Household Support Fund Policy</w:t>
      </w:r>
    </w:p>
    <w:p w14:paraId="0C2ECE3B" w14:textId="7AAA6E18" w:rsidR="009654E0" w:rsidRDefault="009654E0"/>
    <w:p w14:paraId="774E858D" w14:textId="42FE5973" w:rsidR="009654E0" w:rsidRDefault="009654E0">
      <w:r>
        <w:rPr>
          <w:b/>
          <w:bCs/>
        </w:rPr>
        <w:t>Introduction</w:t>
      </w:r>
    </w:p>
    <w:p w14:paraId="32BA6E24" w14:textId="35201AFE" w:rsidR="009654E0" w:rsidRDefault="009654E0"/>
    <w:p w14:paraId="22A48CE3" w14:textId="1EB5905E" w:rsidR="00A14A9B" w:rsidRPr="00A14A9B" w:rsidRDefault="00A14A9B" w:rsidP="00A14A9B">
      <w:pPr>
        <w:jc w:val="both"/>
        <w:rPr>
          <w:rFonts w:eastAsia="Arial"/>
          <w:szCs w:val="24"/>
        </w:rPr>
      </w:pPr>
      <w:r w:rsidRPr="00A14A9B">
        <w:rPr>
          <w:rFonts w:eastAsia="Arial"/>
          <w:szCs w:val="24"/>
        </w:rPr>
        <w:t xml:space="preserve">On 30 September 2021, the Department for Work and Pensions (“DWP”) announced £500m of new funding for authorities across England, Scotland, </w:t>
      </w:r>
      <w:proofErr w:type="gramStart"/>
      <w:r w:rsidRPr="00A14A9B">
        <w:rPr>
          <w:rFonts w:eastAsia="Arial"/>
          <w:szCs w:val="24"/>
        </w:rPr>
        <w:t>Wales</w:t>
      </w:r>
      <w:proofErr w:type="gramEnd"/>
      <w:r w:rsidRPr="00A14A9B">
        <w:rPr>
          <w:rFonts w:eastAsia="Arial"/>
          <w:szCs w:val="24"/>
        </w:rPr>
        <w:t xml:space="preserve"> and Northern Ireland to distribute to vulnerable households over winter. This is known as the Household Support Fund (“the </w:t>
      </w:r>
      <w:r w:rsidR="000865B7">
        <w:rPr>
          <w:rFonts w:eastAsia="Arial"/>
          <w:szCs w:val="24"/>
        </w:rPr>
        <w:t>G</w:t>
      </w:r>
      <w:r w:rsidRPr="00A14A9B">
        <w:rPr>
          <w:rFonts w:eastAsia="Arial"/>
          <w:szCs w:val="24"/>
        </w:rPr>
        <w:t>rant”).</w:t>
      </w:r>
    </w:p>
    <w:p w14:paraId="2BB859CB" w14:textId="5A597A37" w:rsidR="009654E0" w:rsidRDefault="009654E0"/>
    <w:p w14:paraId="01A3B9EF" w14:textId="0E7D686D" w:rsidR="009654E0" w:rsidRDefault="00690B28">
      <w:r>
        <w:t xml:space="preserve">The </w:t>
      </w:r>
      <w:r w:rsidR="003429DE">
        <w:t xml:space="preserve">paper presented to Cabinet </w:t>
      </w:r>
      <w:r w:rsidR="00683B23">
        <w:t>in November 202</w:t>
      </w:r>
      <w:r w:rsidR="00FF6938">
        <w:t>1</w:t>
      </w:r>
      <w:r w:rsidR="00683B23">
        <w:t xml:space="preserve"> </w:t>
      </w:r>
      <w:r w:rsidR="000D4E71">
        <w:t xml:space="preserve">provide the background, </w:t>
      </w:r>
      <w:proofErr w:type="gramStart"/>
      <w:r w:rsidR="000D4E71">
        <w:t>options</w:t>
      </w:r>
      <w:proofErr w:type="gramEnd"/>
      <w:r w:rsidR="000D4E71">
        <w:t xml:space="preserve"> and </w:t>
      </w:r>
      <w:r w:rsidR="009A52E6">
        <w:t xml:space="preserve">information on the proposed </w:t>
      </w:r>
      <w:r w:rsidR="005731D9">
        <w:t>fra</w:t>
      </w:r>
      <w:r w:rsidR="00D118F6">
        <w:t xml:space="preserve">mework.  This policy extracts </w:t>
      </w:r>
      <w:r w:rsidR="00811396">
        <w:t>and expands on t</w:t>
      </w:r>
      <w:r w:rsidR="00D118F6">
        <w:t xml:space="preserve">he key </w:t>
      </w:r>
      <w:r w:rsidR="006B64AE">
        <w:t>criteria for the framework</w:t>
      </w:r>
      <w:r w:rsidR="008222EB">
        <w:t>.</w:t>
      </w:r>
    </w:p>
    <w:p w14:paraId="76E2500E" w14:textId="632628B0" w:rsidR="000A6D2A" w:rsidRDefault="000A6D2A"/>
    <w:p w14:paraId="49F3CEAA" w14:textId="6DB5003C" w:rsidR="000A6D2A" w:rsidRDefault="000A6D2A">
      <w:r>
        <w:t xml:space="preserve">Harrow’s </w:t>
      </w:r>
      <w:r w:rsidR="00CF1231">
        <w:t xml:space="preserve">Household Support Fund grant allocation is </w:t>
      </w:r>
      <w:r w:rsidR="00395DD4">
        <w:t>£1,476,707.18.</w:t>
      </w:r>
    </w:p>
    <w:p w14:paraId="28B532B5" w14:textId="77777777" w:rsidR="008222EB" w:rsidRDefault="008222EB"/>
    <w:p w14:paraId="5DFEC154" w14:textId="0F5095FC" w:rsidR="009654E0" w:rsidRDefault="009654E0">
      <w:pPr>
        <w:rPr>
          <w:b/>
          <w:bCs/>
        </w:rPr>
      </w:pPr>
      <w:r>
        <w:rPr>
          <w:b/>
          <w:bCs/>
        </w:rPr>
        <w:t>Eligibility Criteria</w:t>
      </w:r>
    </w:p>
    <w:p w14:paraId="2196A5BD" w14:textId="2B60F830" w:rsidR="009654E0" w:rsidRDefault="009654E0">
      <w:pPr>
        <w:rPr>
          <w:b/>
          <w:bCs/>
        </w:rPr>
      </w:pPr>
    </w:p>
    <w:p w14:paraId="421E0994" w14:textId="5E986CDF" w:rsidR="009654E0" w:rsidRDefault="004E7D4A">
      <w:r>
        <w:t xml:space="preserve">The Grant </w:t>
      </w:r>
      <w:r w:rsidR="00A925C9">
        <w:t xml:space="preserve">is limited to </w:t>
      </w:r>
      <w:r w:rsidR="00F23961">
        <w:t xml:space="preserve">awards and </w:t>
      </w:r>
      <w:r w:rsidR="00A925C9">
        <w:t xml:space="preserve">applications covering the funding period from 6 October 2021 to 31 March 2022.  Funds </w:t>
      </w:r>
      <w:r w:rsidR="00930C65">
        <w:t>must have been spent or committed before 31 March 2022 and cannot be used for future commitments.</w:t>
      </w:r>
    </w:p>
    <w:p w14:paraId="56A87515" w14:textId="40809E94" w:rsidR="00930C65" w:rsidRDefault="00930C65"/>
    <w:p w14:paraId="215070C1" w14:textId="34040169" w:rsidR="00793302" w:rsidRDefault="00793302">
      <w:r>
        <w:t xml:space="preserve">Applications must be made by a household currently living within the Borough of </w:t>
      </w:r>
      <w:r w:rsidR="005A6984">
        <w:t>Harrow</w:t>
      </w:r>
      <w:r>
        <w:t xml:space="preserve">.  </w:t>
      </w:r>
    </w:p>
    <w:p w14:paraId="16916523" w14:textId="62E1B146" w:rsidR="00793302" w:rsidRDefault="00793302"/>
    <w:p w14:paraId="075AC82A" w14:textId="2DBC47B4" w:rsidR="00793302" w:rsidRDefault="00793302">
      <w:r>
        <w:t>Table 1 sets out additional eligibility criteria.</w:t>
      </w:r>
    </w:p>
    <w:p w14:paraId="7894FEC6" w14:textId="77777777" w:rsidR="004045DF" w:rsidRPr="004045DF" w:rsidRDefault="004045DF" w:rsidP="004045DF"/>
    <w:p w14:paraId="02DAC15F" w14:textId="48156A1F" w:rsidR="00D239B1" w:rsidRPr="004045DF" w:rsidRDefault="00D239B1" w:rsidP="004045DF">
      <w:r w:rsidRPr="004045DF">
        <w:rPr>
          <w:b/>
          <w:bCs/>
        </w:rPr>
        <w:t xml:space="preserve">Table </w:t>
      </w:r>
      <w:r w:rsidRPr="004045DF">
        <w:rPr>
          <w:b/>
          <w:bCs/>
        </w:rPr>
        <w:fldChar w:fldCharType="begin"/>
      </w:r>
      <w:r w:rsidRPr="004045DF">
        <w:rPr>
          <w:b/>
          <w:bCs/>
        </w:rPr>
        <w:instrText xml:space="preserve"> SEQ Table \* ARABIC </w:instrText>
      </w:r>
      <w:r w:rsidRPr="004045DF">
        <w:rPr>
          <w:b/>
          <w:bCs/>
        </w:rPr>
        <w:fldChar w:fldCharType="separate"/>
      </w:r>
      <w:r w:rsidRPr="004045DF">
        <w:rPr>
          <w:b/>
          <w:bCs/>
          <w:noProof/>
        </w:rPr>
        <w:t>1</w:t>
      </w:r>
      <w:r w:rsidRPr="004045DF">
        <w:rPr>
          <w:b/>
          <w:bCs/>
        </w:rPr>
        <w:fldChar w:fldCharType="end"/>
      </w:r>
      <w:r w:rsidRPr="004045DF">
        <w:rPr>
          <w:b/>
          <w:bCs/>
        </w:rPr>
        <w:t>: Housing Support Fund Principles and Conditions</w:t>
      </w:r>
    </w:p>
    <w:tbl>
      <w:tblPr>
        <w:tblStyle w:val="TableGrid"/>
        <w:tblW w:w="5150" w:type="pct"/>
        <w:tblLook w:val="04A0" w:firstRow="1" w:lastRow="0" w:firstColumn="1" w:lastColumn="0" w:noHBand="0" w:noVBand="1"/>
      </w:tblPr>
      <w:tblGrid>
        <w:gridCol w:w="2537"/>
        <w:gridCol w:w="3033"/>
        <w:gridCol w:w="3716"/>
      </w:tblGrid>
      <w:tr w:rsidR="00D239B1" w:rsidRPr="00B939C1" w14:paraId="10EA7C79" w14:textId="77777777" w:rsidTr="00AF1A4B">
        <w:trPr>
          <w:cantSplit/>
          <w:tblHeader/>
        </w:trPr>
        <w:tc>
          <w:tcPr>
            <w:tcW w:w="1366" w:type="pct"/>
            <w:shd w:val="clear" w:color="auto" w:fill="D9D9D9" w:themeFill="background1" w:themeFillShade="D9"/>
          </w:tcPr>
          <w:p w14:paraId="1D3918AE" w14:textId="77777777" w:rsidR="00D239B1" w:rsidRPr="00692850" w:rsidRDefault="00D239B1" w:rsidP="00AF1A4B">
            <w:pPr>
              <w:pStyle w:val="ListParagraph"/>
              <w:ind w:left="0"/>
              <w:jc w:val="center"/>
              <w:rPr>
                <w:rFonts w:eastAsia="Arial" w:cs="Arial"/>
                <w:b/>
                <w:bCs/>
                <w:sz w:val="18"/>
                <w:szCs w:val="18"/>
              </w:rPr>
            </w:pPr>
            <w:r w:rsidRPr="00692850">
              <w:rPr>
                <w:rFonts w:eastAsia="Arial" w:cs="Arial"/>
                <w:b/>
                <w:bCs/>
                <w:sz w:val="18"/>
                <w:szCs w:val="18"/>
              </w:rPr>
              <w:lastRenderedPageBreak/>
              <w:t>Condition / Principle</w:t>
            </w:r>
          </w:p>
        </w:tc>
        <w:tc>
          <w:tcPr>
            <w:tcW w:w="1633" w:type="pct"/>
            <w:shd w:val="clear" w:color="auto" w:fill="D9D9D9" w:themeFill="background1" w:themeFillShade="D9"/>
          </w:tcPr>
          <w:p w14:paraId="32748369" w14:textId="77777777" w:rsidR="00D239B1" w:rsidRPr="00B939C1" w:rsidRDefault="00D239B1" w:rsidP="00AF1A4B">
            <w:pPr>
              <w:pStyle w:val="ListParagraph"/>
              <w:ind w:left="0"/>
              <w:jc w:val="center"/>
              <w:rPr>
                <w:rFonts w:eastAsia="Arial" w:cs="Arial"/>
                <w:b/>
                <w:bCs/>
                <w:sz w:val="18"/>
                <w:szCs w:val="18"/>
              </w:rPr>
            </w:pPr>
            <w:r w:rsidRPr="00B939C1">
              <w:rPr>
                <w:rFonts w:eastAsia="Arial" w:cs="Arial"/>
                <w:b/>
                <w:bCs/>
                <w:sz w:val="18"/>
                <w:szCs w:val="18"/>
              </w:rPr>
              <w:t>Guidance</w:t>
            </w:r>
          </w:p>
        </w:tc>
        <w:tc>
          <w:tcPr>
            <w:tcW w:w="2001" w:type="pct"/>
            <w:shd w:val="clear" w:color="auto" w:fill="D9D9D9" w:themeFill="background1" w:themeFillShade="D9"/>
          </w:tcPr>
          <w:p w14:paraId="3AE22677" w14:textId="4E998B26" w:rsidR="00D239B1" w:rsidRPr="00B939C1" w:rsidRDefault="00DF6C7B" w:rsidP="00AF1A4B">
            <w:pPr>
              <w:pStyle w:val="ListParagraph"/>
              <w:ind w:left="0"/>
              <w:jc w:val="center"/>
              <w:rPr>
                <w:rFonts w:eastAsia="Arial" w:cs="Arial"/>
                <w:b/>
                <w:bCs/>
                <w:sz w:val="18"/>
                <w:szCs w:val="18"/>
              </w:rPr>
            </w:pPr>
            <w:r>
              <w:rPr>
                <w:rFonts w:eastAsia="Arial" w:cs="Arial"/>
                <w:b/>
                <w:bCs/>
                <w:sz w:val="18"/>
                <w:szCs w:val="18"/>
              </w:rPr>
              <w:t>Criteria</w:t>
            </w:r>
          </w:p>
        </w:tc>
      </w:tr>
      <w:tr w:rsidR="00D239B1" w:rsidRPr="00B939C1" w14:paraId="41E05311" w14:textId="77777777" w:rsidTr="00AF1A4B">
        <w:trPr>
          <w:cantSplit/>
          <w:tblHeader/>
        </w:trPr>
        <w:tc>
          <w:tcPr>
            <w:tcW w:w="1366" w:type="pct"/>
          </w:tcPr>
          <w:p w14:paraId="0EB5EE40" w14:textId="77777777" w:rsidR="00D239B1" w:rsidRPr="00692850" w:rsidRDefault="00D239B1" w:rsidP="00AF1A4B">
            <w:pPr>
              <w:pStyle w:val="ListParagraph"/>
              <w:ind w:left="0"/>
              <w:rPr>
                <w:rFonts w:eastAsia="Arial" w:cs="Arial"/>
                <w:b/>
                <w:bCs/>
                <w:sz w:val="18"/>
                <w:szCs w:val="18"/>
              </w:rPr>
            </w:pPr>
            <w:r w:rsidRPr="00692850">
              <w:rPr>
                <w:rFonts w:eastAsia="Arial" w:cs="Arial"/>
                <w:b/>
                <w:bCs/>
                <w:sz w:val="18"/>
                <w:szCs w:val="18"/>
              </w:rPr>
              <w:t>Households with Children</w:t>
            </w:r>
          </w:p>
        </w:tc>
        <w:tc>
          <w:tcPr>
            <w:tcW w:w="1633" w:type="pct"/>
          </w:tcPr>
          <w:p w14:paraId="7481BAE1" w14:textId="77777777" w:rsidR="00D239B1" w:rsidRPr="006A0C10" w:rsidRDefault="00D239B1" w:rsidP="00AF1A4B">
            <w:pPr>
              <w:pStyle w:val="ListParagraph"/>
              <w:spacing w:after="160" w:line="256" w:lineRule="auto"/>
              <w:ind w:left="0"/>
              <w:contextualSpacing/>
              <w:rPr>
                <w:rFonts w:cs="Arial"/>
              </w:rPr>
            </w:pPr>
            <w:r w:rsidRPr="00B939C1">
              <w:rPr>
                <w:rFonts w:cs="Arial"/>
                <w:sz w:val="18"/>
                <w:szCs w:val="18"/>
              </w:rPr>
              <w:t xml:space="preserve">At least 50% of the total funding must be spent on families with children. These households do not have be in receipt </w:t>
            </w:r>
            <w:r>
              <w:rPr>
                <w:rFonts w:cs="Arial"/>
                <w:sz w:val="18"/>
                <w:szCs w:val="18"/>
              </w:rPr>
              <w:t>of DWP welfare benefits</w:t>
            </w:r>
          </w:p>
          <w:p w14:paraId="2FEB3B55" w14:textId="77777777" w:rsidR="00D239B1" w:rsidRPr="00B939C1" w:rsidRDefault="00D239B1" w:rsidP="00AF1A4B">
            <w:pPr>
              <w:pStyle w:val="ListParagraph"/>
              <w:ind w:left="0"/>
              <w:rPr>
                <w:rFonts w:eastAsia="Arial" w:cs="Arial"/>
                <w:sz w:val="18"/>
                <w:szCs w:val="18"/>
              </w:rPr>
            </w:pPr>
          </w:p>
        </w:tc>
        <w:tc>
          <w:tcPr>
            <w:tcW w:w="2001" w:type="pct"/>
          </w:tcPr>
          <w:p w14:paraId="6E4FED70" w14:textId="77777777" w:rsidR="00D239B1" w:rsidRPr="00B939C1" w:rsidRDefault="00D239B1" w:rsidP="00AF1A4B">
            <w:pPr>
              <w:pStyle w:val="ListParagraph"/>
              <w:ind w:left="0"/>
              <w:rPr>
                <w:rFonts w:cs="Arial"/>
                <w:sz w:val="18"/>
                <w:szCs w:val="18"/>
              </w:rPr>
            </w:pPr>
            <w:r w:rsidRPr="00B939C1">
              <w:rPr>
                <w:rFonts w:cs="Arial"/>
                <w:sz w:val="18"/>
                <w:szCs w:val="18"/>
              </w:rPr>
              <w:t xml:space="preserve">This means a household with: </w:t>
            </w:r>
          </w:p>
          <w:p w14:paraId="0B54DF6C" w14:textId="77777777" w:rsidR="00D239B1" w:rsidRPr="00B939C1" w:rsidRDefault="00D239B1" w:rsidP="00AF1A4B">
            <w:pPr>
              <w:pStyle w:val="ListParagraph"/>
              <w:ind w:left="0"/>
              <w:rPr>
                <w:rFonts w:cs="Arial"/>
                <w:sz w:val="18"/>
                <w:szCs w:val="18"/>
              </w:rPr>
            </w:pPr>
          </w:p>
          <w:p w14:paraId="520BDDEB" w14:textId="77777777" w:rsidR="00D239B1" w:rsidRPr="00B939C1" w:rsidRDefault="00D239B1" w:rsidP="00D239B1">
            <w:pPr>
              <w:pStyle w:val="ListParagraph"/>
              <w:numPr>
                <w:ilvl w:val="0"/>
                <w:numId w:val="44"/>
              </w:numPr>
              <w:ind w:left="360"/>
              <w:rPr>
                <w:rFonts w:cs="Arial"/>
                <w:sz w:val="18"/>
                <w:szCs w:val="18"/>
              </w:rPr>
            </w:pPr>
            <w:r w:rsidRPr="00B939C1">
              <w:rPr>
                <w:rFonts w:cs="Arial"/>
                <w:sz w:val="18"/>
                <w:szCs w:val="18"/>
              </w:rPr>
              <w:t xml:space="preserve">a person who will be under the age of 19 as </w:t>
            </w:r>
            <w:proofErr w:type="gramStart"/>
            <w:r w:rsidRPr="00B939C1">
              <w:rPr>
                <w:rFonts w:cs="Arial"/>
                <w:sz w:val="18"/>
                <w:szCs w:val="18"/>
              </w:rPr>
              <w:t>at</w:t>
            </w:r>
            <w:proofErr w:type="gramEnd"/>
            <w:r w:rsidRPr="00B939C1">
              <w:rPr>
                <w:rFonts w:cs="Arial"/>
                <w:sz w:val="18"/>
                <w:szCs w:val="18"/>
              </w:rPr>
              <w:t xml:space="preserve"> 31st March 2022, </w:t>
            </w:r>
            <w:r w:rsidRPr="00B939C1">
              <w:rPr>
                <w:rFonts w:cs="Arial"/>
                <w:sz w:val="18"/>
                <w:szCs w:val="18"/>
                <w:u w:val="single"/>
              </w:rPr>
              <w:t xml:space="preserve">or </w:t>
            </w:r>
          </w:p>
          <w:p w14:paraId="2C4D563E" w14:textId="77777777" w:rsidR="00D239B1" w:rsidRPr="00B939C1" w:rsidRDefault="00D239B1" w:rsidP="00AF1A4B">
            <w:pPr>
              <w:pStyle w:val="ListParagraph"/>
              <w:ind w:left="360"/>
              <w:rPr>
                <w:rFonts w:cs="Arial"/>
                <w:sz w:val="18"/>
                <w:szCs w:val="18"/>
              </w:rPr>
            </w:pPr>
          </w:p>
          <w:p w14:paraId="2DF24225" w14:textId="77777777" w:rsidR="00D239B1" w:rsidRPr="00B939C1" w:rsidRDefault="00D239B1" w:rsidP="00D239B1">
            <w:pPr>
              <w:pStyle w:val="ListParagraph"/>
              <w:numPr>
                <w:ilvl w:val="0"/>
                <w:numId w:val="44"/>
              </w:numPr>
              <w:ind w:left="360"/>
              <w:rPr>
                <w:rFonts w:cs="Arial"/>
                <w:sz w:val="18"/>
                <w:szCs w:val="18"/>
              </w:rPr>
            </w:pPr>
            <w:r w:rsidRPr="00B939C1">
              <w:rPr>
                <w:rFonts w:cs="Arial"/>
                <w:sz w:val="18"/>
                <w:szCs w:val="18"/>
              </w:rPr>
              <w:t>a person aged 19 or over in respect of whom a child-related benefit is paid or free school meals are provided during the period 06 October 2021 and 31 March 2022.</w:t>
            </w:r>
          </w:p>
        </w:tc>
      </w:tr>
      <w:tr w:rsidR="00D239B1" w:rsidRPr="00B939C1" w14:paraId="4B05671D" w14:textId="77777777" w:rsidTr="00AF1A4B">
        <w:trPr>
          <w:cantSplit/>
          <w:tblHeader/>
        </w:trPr>
        <w:tc>
          <w:tcPr>
            <w:tcW w:w="1366" w:type="pct"/>
          </w:tcPr>
          <w:p w14:paraId="55DF93E8" w14:textId="77777777" w:rsidR="00D239B1" w:rsidRPr="00692850" w:rsidRDefault="00D239B1" w:rsidP="00AF1A4B">
            <w:pPr>
              <w:pStyle w:val="ListParagraph"/>
              <w:ind w:left="0"/>
              <w:rPr>
                <w:rFonts w:eastAsia="Arial" w:cs="Arial"/>
                <w:b/>
                <w:bCs/>
                <w:sz w:val="18"/>
                <w:szCs w:val="18"/>
              </w:rPr>
            </w:pPr>
            <w:r w:rsidRPr="00692850">
              <w:rPr>
                <w:rFonts w:eastAsia="Arial" w:cs="Arial"/>
                <w:b/>
                <w:bCs/>
                <w:sz w:val="18"/>
                <w:szCs w:val="18"/>
              </w:rPr>
              <w:t>Essential Living Costs</w:t>
            </w:r>
          </w:p>
        </w:tc>
        <w:tc>
          <w:tcPr>
            <w:tcW w:w="1633" w:type="pct"/>
          </w:tcPr>
          <w:p w14:paraId="7D3A1839" w14:textId="77777777" w:rsidR="00D239B1" w:rsidRPr="00B939C1" w:rsidRDefault="00D239B1" w:rsidP="00AF1A4B">
            <w:pPr>
              <w:pStyle w:val="ListParagraph"/>
              <w:ind w:left="0"/>
              <w:rPr>
                <w:rFonts w:eastAsia="Arial" w:cs="Arial"/>
                <w:sz w:val="18"/>
                <w:szCs w:val="18"/>
              </w:rPr>
            </w:pPr>
            <w:r w:rsidRPr="00B939C1">
              <w:rPr>
                <w:rFonts w:cs="Arial"/>
                <w:sz w:val="18"/>
                <w:szCs w:val="18"/>
              </w:rPr>
              <w:t>The HSF should primarily be used to support households in most need with eligible spend for essential living costs</w:t>
            </w:r>
          </w:p>
        </w:tc>
        <w:tc>
          <w:tcPr>
            <w:tcW w:w="2001" w:type="pct"/>
          </w:tcPr>
          <w:p w14:paraId="38C046F5" w14:textId="737C1295" w:rsidR="00D239B1" w:rsidRPr="00B939C1" w:rsidRDefault="00D239B1" w:rsidP="00AF1A4B">
            <w:pPr>
              <w:pStyle w:val="ListParagraph"/>
              <w:ind w:left="0"/>
              <w:rPr>
                <w:rFonts w:eastAsia="Arial" w:cs="Arial"/>
                <w:sz w:val="18"/>
                <w:szCs w:val="18"/>
              </w:rPr>
            </w:pPr>
            <w:r w:rsidRPr="00B939C1">
              <w:rPr>
                <w:rFonts w:eastAsia="Arial" w:cs="Arial"/>
                <w:sz w:val="18"/>
                <w:szCs w:val="18"/>
              </w:rPr>
              <w:t>These costs should include:</w:t>
            </w:r>
          </w:p>
          <w:p w14:paraId="436EEF68" w14:textId="77777777" w:rsidR="00D239B1" w:rsidRPr="00B939C1" w:rsidRDefault="00D239B1" w:rsidP="00AF1A4B">
            <w:pPr>
              <w:pStyle w:val="ListParagraph"/>
              <w:ind w:left="0"/>
              <w:rPr>
                <w:rFonts w:eastAsia="Arial" w:cs="Arial"/>
                <w:sz w:val="18"/>
                <w:szCs w:val="18"/>
              </w:rPr>
            </w:pPr>
          </w:p>
          <w:p w14:paraId="11E350C9" w14:textId="7C1BE00E" w:rsidR="00D239B1" w:rsidRPr="00B939C1" w:rsidRDefault="00D239B1" w:rsidP="00D239B1">
            <w:pPr>
              <w:pStyle w:val="ListParagraph"/>
              <w:numPr>
                <w:ilvl w:val="0"/>
                <w:numId w:val="44"/>
              </w:numPr>
              <w:ind w:left="360"/>
              <w:rPr>
                <w:rFonts w:cs="Arial"/>
                <w:sz w:val="18"/>
                <w:szCs w:val="18"/>
              </w:rPr>
            </w:pPr>
            <w:r w:rsidRPr="00B939C1">
              <w:rPr>
                <w:rFonts w:cs="Arial"/>
                <w:b/>
                <w:bCs/>
                <w:sz w:val="18"/>
                <w:szCs w:val="18"/>
              </w:rPr>
              <w:t>Food</w:t>
            </w:r>
            <w:r w:rsidR="0055212E">
              <w:rPr>
                <w:rFonts w:cs="Arial"/>
                <w:sz w:val="18"/>
                <w:szCs w:val="18"/>
              </w:rPr>
              <w:t>.</w:t>
            </w:r>
          </w:p>
          <w:p w14:paraId="589EE6FD" w14:textId="77777777" w:rsidR="00D239B1" w:rsidRPr="00B939C1" w:rsidRDefault="00D239B1" w:rsidP="00AF1A4B">
            <w:pPr>
              <w:pStyle w:val="ListParagraph"/>
              <w:ind w:left="360"/>
              <w:rPr>
                <w:rFonts w:cs="Arial"/>
                <w:sz w:val="18"/>
                <w:szCs w:val="18"/>
              </w:rPr>
            </w:pPr>
          </w:p>
          <w:p w14:paraId="63106C0C" w14:textId="77777777" w:rsidR="00D239B1" w:rsidRPr="00B939C1" w:rsidRDefault="00D239B1" w:rsidP="00D239B1">
            <w:pPr>
              <w:pStyle w:val="ListParagraph"/>
              <w:numPr>
                <w:ilvl w:val="0"/>
                <w:numId w:val="44"/>
              </w:numPr>
              <w:ind w:left="360"/>
              <w:rPr>
                <w:rFonts w:cs="Arial"/>
                <w:sz w:val="18"/>
                <w:szCs w:val="18"/>
              </w:rPr>
            </w:pPr>
            <w:r w:rsidRPr="00B939C1">
              <w:rPr>
                <w:rFonts w:cs="Arial"/>
                <w:b/>
                <w:bCs/>
                <w:sz w:val="18"/>
                <w:szCs w:val="18"/>
              </w:rPr>
              <w:t>Energy</w:t>
            </w:r>
            <w:r w:rsidRPr="00B939C1">
              <w:rPr>
                <w:rFonts w:cs="Arial"/>
                <w:sz w:val="18"/>
                <w:szCs w:val="18"/>
              </w:rPr>
              <w:t xml:space="preserve"> for domestic heating, </w:t>
            </w:r>
            <w:proofErr w:type="gramStart"/>
            <w:r w:rsidRPr="00B939C1">
              <w:rPr>
                <w:rFonts w:cs="Arial"/>
                <w:sz w:val="18"/>
                <w:szCs w:val="18"/>
              </w:rPr>
              <w:t>cooking</w:t>
            </w:r>
            <w:proofErr w:type="gramEnd"/>
            <w:r w:rsidRPr="00B939C1">
              <w:rPr>
                <w:rFonts w:cs="Arial"/>
                <w:sz w:val="18"/>
                <w:szCs w:val="18"/>
              </w:rPr>
              <w:t xml:space="preserve"> or lighting, including oil or portable gas cylinders. </w:t>
            </w:r>
          </w:p>
          <w:p w14:paraId="080DF708" w14:textId="77777777" w:rsidR="00D239B1" w:rsidRPr="00B939C1" w:rsidRDefault="00D239B1" w:rsidP="00AF1A4B">
            <w:pPr>
              <w:pStyle w:val="ListParagraph"/>
              <w:rPr>
                <w:rFonts w:cs="Arial"/>
                <w:sz w:val="18"/>
                <w:szCs w:val="18"/>
              </w:rPr>
            </w:pPr>
          </w:p>
          <w:p w14:paraId="1ACAAC40" w14:textId="77777777" w:rsidR="00D239B1" w:rsidRPr="00B939C1" w:rsidRDefault="00D239B1" w:rsidP="00D239B1">
            <w:pPr>
              <w:pStyle w:val="ListParagraph"/>
              <w:numPr>
                <w:ilvl w:val="0"/>
                <w:numId w:val="44"/>
              </w:numPr>
              <w:ind w:left="360"/>
              <w:rPr>
                <w:rFonts w:cs="Arial"/>
                <w:sz w:val="18"/>
                <w:szCs w:val="18"/>
              </w:rPr>
            </w:pPr>
            <w:r w:rsidRPr="00B939C1">
              <w:rPr>
                <w:rFonts w:cs="Arial"/>
                <w:b/>
                <w:bCs/>
                <w:sz w:val="18"/>
                <w:szCs w:val="18"/>
              </w:rPr>
              <w:t>Water bills</w:t>
            </w:r>
            <w:r w:rsidRPr="00B939C1">
              <w:rPr>
                <w:rFonts w:cs="Arial"/>
                <w:sz w:val="18"/>
                <w:szCs w:val="18"/>
              </w:rPr>
              <w:t xml:space="preserve"> for drinking, washing, cooking, and sanitary purposes and sewerage.</w:t>
            </w:r>
          </w:p>
          <w:p w14:paraId="6C3ECB85" w14:textId="77777777" w:rsidR="00D239B1" w:rsidRPr="00B939C1" w:rsidRDefault="00D239B1" w:rsidP="00AF1A4B">
            <w:pPr>
              <w:pStyle w:val="ListParagraph"/>
              <w:rPr>
                <w:rFonts w:cs="Arial"/>
                <w:sz w:val="18"/>
                <w:szCs w:val="18"/>
              </w:rPr>
            </w:pPr>
          </w:p>
          <w:p w14:paraId="401296F7" w14:textId="77777777" w:rsidR="00D239B1" w:rsidRPr="00B939C1" w:rsidRDefault="00D239B1" w:rsidP="00D239B1">
            <w:pPr>
              <w:pStyle w:val="ListParagraph"/>
              <w:numPr>
                <w:ilvl w:val="0"/>
                <w:numId w:val="44"/>
              </w:numPr>
              <w:ind w:left="360"/>
              <w:rPr>
                <w:rFonts w:cs="Arial"/>
                <w:sz w:val="18"/>
                <w:szCs w:val="18"/>
              </w:rPr>
            </w:pPr>
            <w:r w:rsidRPr="00B939C1">
              <w:rPr>
                <w:rFonts w:cs="Arial"/>
                <w:b/>
                <w:bCs/>
                <w:sz w:val="18"/>
                <w:szCs w:val="18"/>
              </w:rPr>
              <w:t>Essentials</w:t>
            </w:r>
            <w:r w:rsidRPr="00B939C1">
              <w:rPr>
                <w:rFonts w:cs="Arial"/>
                <w:sz w:val="18"/>
                <w:szCs w:val="18"/>
              </w:rPr>
              <w:t xml:space="preserve"> linked to the above, in recognition that costs may arise which directly affect a household’s ability to afford or access food, energy and water. </w:t>
            </w:r>
            <w:proofErr w:type="spellStart"/>
            <w:r w:rsidRPr="00B939C1">
              <w:rPr>
                <w:rFonts w:cs="Arial"/>
                <w:sz w:val="18"/>
                <w:szCs w:val="18"/>
              </w:rPr>
              <w:t>e.g</w:t>
            </w:r>
            <w:proofErr w:type="spellEnd"/>
            <w:r w:rsidRPr="00B939C1">
              <w:rPr>
                <w:rFonts w:cs="Arial"/>
                <w:sz w:val="18"/>
                <w:szCs w:val="18"/>
              </w:rPr>
              <w:t xml:space="preserve">: </w:t>
            </w:r>
          </w:p>
          <w:p w14:paraId="24366011" w14:textId="77777777" w:rsidR="00D239B1" w:rsidRPr="00B939C1" w:rsidRDefault="00D239B1" w:rsidP="00AF1A4B">
            <w:pPr>
              <w:rPr>
                <w:sz w:val="18"/>
                <w:szCs w:val="18"/>
              </w:rPr>
            </w:pPr>
          </w:p>
          <w:p w14:paraId="551039F3" w14:textId="77777777" w:rsidR="00D239B1" w:rsidRPr="00B939C1" w:rsidRDefault="00D239B1" w:rsidP="00D239B1">
            <w:pPr>
              <w:pStyle w:val="ListParagraph"/>
              <w:numPr>
                <w:ilvl w:val="0"/>
                <w:numId w:val="45"/>
              </w:numPr>
              <w:rPr>
                <w:rFonts w:cs="Arial"/>
                <w:sz w:val="18"/>
                <w:szCs w:val="18"/>
              </w:rPr>
            </w:pPr>
            <w:r w:rsidRPr="00B939C1">
              <w:rPr>
                <w:rFonts w:cs="Arial"/>
                <w:sz w:val="18"/>
                <w:szCs w:val="18"/>
              </w:rPr>
              <w:t xml:space="preserve">Sanitary products </w:t>
            </w:r>
          </w:p>
          <w:p w14:paraId="6A8C0DF2" w14:textId="77777777" w:rsidR="00D239B1" w:rsidRPr="00B939C1" w:rsidRDefault="00D239B1" w:rsidP="00D239B1">
            <w:pPr>
              <w:pStyle w:val="ListParagraph"/>
              <w:numPr>
                <w:ilvl w:val="0"/>
                <w:numId w:val="45"/>
              </w:numPr>
              <w:rPr>
                <w:rFonts w:cs="Arial"/>
                <w:sz w:val="18"/>
                <w:szCs w:val="18"/>
              </w:rPr>
            </w:pPr>
            <w:r w:rsidRPr="00B939C1">
              <w:rPr>
                <w:rFonts w:cs="Arial"/>
                <w:sz w:val="18"/>
                <w:szCs w:val="18"/>
              </w:rPr>
              <w:t>Warm clothing</w:t>
            </w:r>
          </w:p>
          <w:p w14:paraId="19FFE19F" w14:textId="77777777" w:rsidR="00D239B1" w:rsidRPr="00B939C1" w:rsidRDefault="00D239B1" w:rsidP="00D239B1">
            <w:pPr>
              <w:pStyle w:val="ListParagraph"/>
              <w:numPr>
                <w:ilvl w:val="0"/>
                <w:numId w:val="45"/>
              </w:numPr>
              <w:rPr>
                <w:rFonts w:cs="Arial"/>
                <w:sz w:val="18"/>
                <w:szCs w:val="18"/>
              </w:rPr>
            </w:pPr>
            <w:r w:rsidRPr="00B939C1">
              <w:rPr>
                <w:rFonts w:cs="Arial"/>
                <w:sz w:val="18"/>
                <w:szCs w:val="18"/>
              </w:rPr>
              <w:t xml:space="preserve">Soap, </w:t>
            </w:r>
          </w:p>
          <w:p w14:paraId="087F4909" w14:textId="77777777" w:rsidR="00D239B1" w:rsidRPr="00B939C1" w:rsidRDefault="00D239B1" w:rsidP="00D239B1">
            <w:pPr>
              <w:pStyle w:val="ListParagraph"/>
              <w:numPr>
                <w:ilvl w:val="0"/>
                <w:numId w:val="45"/>
              </w:numPr>
              <w:rPr>
                <w:rFonts w:cs="Arial"/>
                <w:sz w:val="18"/>
                <w:szCs w:val="18"/>
              </w:rPr>
            </w:pPr>
            <w:r w:rsidRPr="00B939C1">
              <w:rPr>
                <w:rFonts w:cs="Arial"/>
                <w:sz w:val="18"/>
                <w:szCs w:val="18"/>
              </w:rPr>
              <w:t>Blankets</w:t>
            </w:r>
          </w:p>
          <w:p w14:paraId="1621A18F" w14:textId="77777777" w:rsidR="00D239B1" w:rsidRPr="00B939C1" w:rsidRDefault="00D239B1" w:rsidP="00D239B1">
            <w:pPr>
              <w:pStyle w:val="ListParagraph"/>
              <w:numPr>
                <w:ilvl w:val="0"/>
                <w:numId w:val="45"/>
              </w:numPr>
              <w:rPr>
                <w:rFonts w:cs="Arial"/>
                <w:sz w:val="18"/>
                <w:szCs w:val="18"/>
              </w:rPr>
            </w:pPr>
            <w:r w:rsidRPr="00B939C1">
              <w:rPr>
                <w:rFonts w:cs="Arial"/>
                <w:sz w:val="18"/>
                <w:szCs w:val="18"/>
              </w:rPr>
              <w:t>Boiler service/repair,</w:t>
            </w:r>
          </w:p>
          <w:p w14:paraId="233FA2C6" w14:textId="77777777" w:rsidR="00D239B1" w:rsidRPr="00B939C1" w:rsidRDefault="00D239B1" w:rsidP="00D239B1">
            <w:pPr>
              <w:pStyle w:val="ListParagraph"/>
              <w:numPr>
                <w:ilvl w:val="0"/>
                <w:numId w:val="45"/>
              </w:numPr>
              <w:rPr>
                <w:rFonts w:cs="Arial"/>
                <w:sz w:val="18"/>
                <w:szCs w:val="18"/>
              </w:rPr>
            </w:pPr>
            <w:r w:rsidRPr="00B939C1">
              <w:rPr>
                <w:rFonts w:cs="Arial"/>
                <w:sz w:val="18"/>
                <w:szCs w:val="18"/>
              </w:rPr>
              <w:t>Purchase of equipment including fridges, freezers, ovens, etc.</w:t>
            </w:r>
          </w:p>
          <w:p w14:paraId="5B5445C4" w14:textId="77777777" w:rsidR="00D239B1" w:rsidRPr="00B939C1" w:rsidRDefault="00D239B1" w:rsidP="00AF1A4B">
            <w:pPr>
              <w:rPr>
                <w:sz w:val="18"/>
                <w:szCs w:val="18"/>
              </w:rPr>
            </w:pPr>
          </w:p>
        </w:tc>
      </w:tr>
      <w:tr w:rsidR="00D239B1" w:rsidRPr="00B939C1" w14:paraId="7D25C3DF" w14:textId="77777777" w:rsidTr="00AF1A4B">
        <w:trPr>
          <w:cantSplit/>
          <w:tblHeader/>
        </w:trPr>
        <w:tc>
          <w:tcPr>
            <w:tcW w:w="1366" w:type="pct"/>
          </w:tcPr>
          <w:p w14:paraId="2951A77E" w14:textId="77777777" w:rsidR="00D239B1" w:rsidRPr="00692850" w:rsidRDefault="00D239B1" w:rsidP="00AF1A4B">
            <w:pPr>
              <w:pStyle w:val="ListParagraph"/>
              <w:ind w:left="0"/>
              <w:rPr>
                <w:rFonts w:eastAsia="Arial" w:cs="Arial"/>
                <w:b/>
                <w:bCs/>
                <w:sz w:val="18"/>
                <w:szCs w:val="18"/>
              </w:rPr>
            </w:pPr>
            <w:r w:rsidRPr="00692850">
              <w:rPr>
                <w:rFonts w:eastAsia="Arial" w:cs="Arial"/>
                <w:b/>
                <w:bCs/>
                <w:sz w:val="18"/>
                <w:szCs w:val="18"/>
              </w:rPr>
              <w:t>Associated Living Costs</w:t>
            </w:r>
          </w:p>
        </w:tc>
        <w:tc>
          <w:tcPr>
            <w:tcW w:w="1633" w:type="pct"/>
          </w:tcPr>
          <w:p w14:paraId="3C934C17" w14:textId="77777777" w:rsidR="00D239B1" w:rsidRPr="00B939C1" w:rsidRDefault="00D239B1" w:rsidP="00AF1A4B">
            <w:pPr>
              <w:pStyle w:val="ListParagraph"/>
              <w:ind w:left="0"/>
              <w:rPr>
                <w:rFonts w:eastAsia="Arial" w:cs="Arial"/>
                <w:sz w:val="18"/>
                <w:szCs w:val="18"/>
              </w:rPr>
            </w:pPr>
            <w:r w:rsidRPr="00B939C1">
              <w:rPr>
                <w:rFonts w:cs="Arial"/>
                <w:sz w:val="18"/>
                <w:szCs w:val="18"/>
              </w:rPr>
              <w:t>The HSF can also be used to support households with certain other essential costs</w:t>
            </w:r>
          </w:p>
        </w:tc>
        <w:tc>
          <w:tcPr>
            <w:tcW w:w="2001" w:type="pct"/>
          </w:tcPr>
          <w:p w14:paraId="79DAD47C" w14:textId="77777777" w:rsidR="00D239B1" w:rsidRPr="00B939C1" w:rsidRDefault="00D239B1" w:rsidP="00D239B1">
            <w:pPr>
              <w:pStyle w:val="ListParagraph"/>
              <w:numPr>
                <w:ilvl w:val="0"/>
                <w:numId w:val="44"/>
              </w:numPr>
              <w:ind w:left="360"/>
              <w:rPr>
                <w:rFonts w:cs="Arial"/>
                <w:sz w:val="18"/>
                <w:szCs w:val="18"/>
              </w:rPr>
            </w:pPr>
            <w:r w:rsidRPr="00B939C1">
              <w:rPr>
                <w:rFonts w:cs="Arial"/>
                <w:b/>
                <w:bCs/>
                <w:sz w:val="18"/>
                <w:szCs w:val="18"/>
              </w:rPr>
              <w:t>Wider essential costs</w:t>
            </w:r>
            <w:r w:rsidRPr="00B939C1">
              <w:rPr>
                <w:rFonts w:cs="Arial"/>
                <w:sz w:val="18"/>
                <w:szCs w:val="18"/>
              </w:rPr>
              <w:t xml:space="preserve"> not linked to energy and water. These may include, but are not limited to:</w:t>
            </w:r>
          </w:p>
          <w:p w14:paraId="5B1699D9" w14:textId="77777777" w:rsidR="00D239B1" w:rsidRPr="00B939C1" w:rsidRDefault="00D239B1" w:rsidP="00AF1A4B">
            <w:pPr>
              <w:rPr>
                <w:sz w:val="18"/>
                <w:szCs w:val="18"/>
              </w:rPr>
            </w:pPr>
          </w:p>
          <w:p w14:paraId="0D18FCF7"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 xml:space="preserve">Support with other bills including broadband or phone bills, </w:t>
            </w:r>
          </w:p>
          <w:p w14:paraId="12AD4F1F" w14:textId="16F0D2B4" w:rsidR="00D239B1" w:rsidRDefault="00D239B1" w:rsidP="00D239B1">
            <w:pPr>
              <w:pStyle w:val="ListParagraph"/>
              <w:numPr>
                <w:ilvl w:val="0"/>
                <w:numId w:val="46"/>
              </w:numPr>
              <w:rPr>
                <w:rFonts w:cs="Arial"/>
                <w:sz w:val="18"/>
                <w:szCs w:val="18"/>
              </w:rPr>
            </w:pPr>
            <w:r w:rsidRPr="00B939C1">
              <w:rPr>
                <w:rFonts w:cs="Arial"/>
                <w:sz w:val="18"/>
                <w:szCs w:val="18"/>
              </w:rPr>
              <w:t>Other clothing</w:t>
            </w:r>
          </w:p>
          <w:p w14:paraId="2FCFEF13" w14:textId="25BC4184" w:rsidR="006247CA" w:rsidRPr="00B939C1" w:rsidRDefault="006247CA" w:rsidP="00D239B1">
            <w:pPr>
              <w:pStyle w:val="ListParagraph"/>
              <w:numPr>
                <w:ilvl w:val="0"/>
                <w:numId w:val="46"/>
              </w:numPr>
              <w:rPr>
                <w:rFonts w:cs="Arial"/>
                <w:sz w:val="18"/>
                <w:szCs w:val="18"/>
              </w:rPr>
            </w:pPr>
            <w:r>
              <w:rPr>
                <w:rFonts w:cs="Arial"/>
                <w:sz w:val="18"/>
                <w:szCs w:val="18"/>
              </w:rPr>
              <w:t>Other furniture such as mattress</w:t>
            </w:r>
          </w:p>
          <w:p w14:paraId="1DC1255E"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 xml:space="preserve">Essential transport-related costs such as repairing a car, buying a </w:t>
            </w:r>
            <w:proofErr w:type="gramStart"/>
            <w:r w:rsidRPr="00B939C1">
              <w:rPr>
                <w:rFonts w:cs="Arial"/>
                <w:sz w:val="18"/>
                <w:szCs w:val="18"/>
              </w:rPr>
              <w:t>bicycle</w:t>
            </w:r>
            <w:proofErr w:type="gramEnd"/>
            <w:r w:rsidRPr="00B939C1">
              <w:rPr>
                <w:rFonts w:cs="Arial"/>
                <w:sz w:val="18"/>
                <w:szCs w:val="18"/>
              </w:rPr>
              <w:t xml:space="preserve"> or paying for fuel.</w:t>
            </w:r>
          </w:p>
          <w:p w14:paraId="15C3371B" w14:textId="77777777" w:rsidR="00D239B1" w:rsidRPr="00B939C1" w:rsidRDefault="00D239B1" w:rsidP="00D239B1">
            <w:pPr>
              <w:pStyle w:val="ListParagraph"/>
              <w:numPr>
                <w:ilvl w:val="0"/>
                <w:numId w:val="46"/>
              </w:numPr>
              <w:rPr>
                <w:rFonts w:cs="Arial"/>
                <w:sz w:val="18"/>
                <w:szCs w:val="18"/>
              </w:rPr>
            </w:pPr>
            <w:r w:rsidRPr="00B939C1">
              <w:rPr>
                <w:rFonts w:cs="Arial"/>
                <w:sz w:val="18"/>
                <w:szCs w:val="18"/>
              </w:rPr>
              <w:t>Council Tax arrears</w:t>
            </w:r>
          </w:p>
        </w:tc>
      </w:tr>
      <w:tr w:rsidR="00D239B1" w:rsidRPr="00B939C1" w14:paraId="75A64CFC" w14:textId="77777777" w:rsidTr="00AF1A4B">
        <w:trPr>
          <w:cantSplit/>
          <w:tblHeader/>
        </w:trPr>
        <w:tc>
          <w:tcPr>
            <w:tcW w:w="1366" w:type="pct"/>
          </w:tcPr>
          <w:p w14:paraId="2CD843A4" w14:textId="77777777" w:rsidR="00D239B1" w:rsidRPr="00692850" w:rsidRDefault="00D239B1" w:rsidP="00AF1A4B">
            <w:pPr>
              <w:pStyle w:val="ListParagraph"/>
              <w:ind w:left="0"/>
              <w:rPr>
                <w:rFonts w:eastAsia="Arial" w:cs="Arial"/>
                <w:b/>
                <w:bCs/>
                <w:sz w:val="18"/>
                <w:szCs w:val="18"/>
              </w:rPr>
            </w:pPr>
            <w:r w:rsidRPr="00692850">
              <w:rPr>
                <w:rFonts w:eastAsia="Arial" w:cs="Arial"/>
                <w:b/>
                <w:bCs/>
                <w:sz w:val="18"/>
                <w:szCs w:val="18"/>
              </w:rPr>
              <w:lastRenderedPageBreak/>
              <w:t>Other</w:t>
            </w:r>
          </w:p>
        </w:tc>
        <w:tc>
          <w:tcPr>
            <w:tcW w:w="1633" w:type="pct"/>
          </w:tcPr>
          <w:p w14:paraId="7FA7A757" w14:textId="77777777" w:rsidR="00D239B1" w:rsidRPr="00B939C1" w:rsidRDefault="00D239B1" w:rsidP="00AF1A4B">
            <w:pPr>
              <w:pStyle w:val="ListParagraph"/>
              <w:ind w:left="0"/>
              <w:rPr>
                <w:rFonts w:eastAsia="Arial" w:cs="Arial"/>
                <w:sz w:val="18"/>
                <w:szCs w:val="18"/>
              </w:rPr>
            </w:pPr>
            <w:r w:rsidRPr="00B939C1">
              <w:rPr>
                <w:rFonts w:eastAsia="Arial" w:cs="Arial"/>
                <w:sz w:val="18"/>
                <w:szCs w:val="18"/>
              </w:rPr>
              <w:t>The HSF can be used for other means of support not covered by the above</w:t>
            </w:r>
          </w:p>
        </w:tc>
        <w:tc>
          <w:tcPr>
            <w:tcW w:w="2001" w:type="pct"/>
          </w:tcPr>
          <w:p w14:paraId="5DCBC0B8" w14:textId="77777777" w:rsidR="00D239B1" w:rsidRPr="00B939C1" w:rsidRDefault="00D239B1" w:rsidP="00D239B1">
            <w:pPr>
              <w:pStyle w:val="ListParagraph"/>
              <w:numPr>
                <w:ilvl w:val="0"/>
                <w:numId w:val="44"/>
              </w:numPr>
              <w:ind w:left="360"/>
              <w:rPr>
                <w:rFonts w:cs="Arial"/>
                <w:b/>
                <w:bCs/>
                <w:sz w:val="18"/>
                <w:szCs w:val="18"/>
              </w:rPr>
            </w:pPr>
            <w:r w:rsidRPr="00B939C1">
              <w:rPr>
                <w:rFonts w:cs="Arial"/>
                <w:b/>
                <w:bCs/>
                <w:sz w:val="18"/>
                <w:szCs w:val="18"/>
              </w:rPr>
              <w:t xml:space="preserve">Housing costs, </w:t>
            </w:r>
            <w:r w:rsidRPr="00B939C1">
              <w:rPr>
                <w:rFonts w:cs="Arial"/>
                <w:sz w:val="18"/>
                <w:szCs w:val="18"/>
              </w:rPr>
              <w:t xml:space="preserve">in exceptional cases of genuine emergency where existing welfare and support </w:t>
            </w:r>
            <w:proofErr w:type="gramStart"/>
            <w:r w:rsidRPr="00B939C1">
              <w:rPr>
                <w:rFonts w:cs="Arial"/>
                <w:sz w:val="18"/>
                <w:szCs w:val="18"/>
              </w:rPr>
              <w:t>i.e.</w:t>
            </w:r>
            <w:proofErr w:type="gramEnd"/>
            <w:r w:rsidRPr="00B939C1">
              <w:rPr>
                <w:rFonts w:cs="Arial"/>
                <w:sz w:val="18"/>
                <w:szCs w:val="18"/>
              </w:rPr>
              <w:t xml:space="preserve"> the housing cost element of Universal Credit (UC), Housing Benefit (HB) or Discretionary Housing Payments (DHP) do not meet this exceptional need, the HSF can be used to support housing costs but not </w:t>
            </w:r>
            <w:r w:rsidRPr="00B939C1">
              <w:rPr>
                <w:rFonts w:cs="Arial"/>
                <w:b/>
                <w:bCs/>
                <w:sz w:val="18"/>
                <w:szCs w:val="18"/>
              </w:rPr>
              <w:t>mortgage payments.</w:t>
            </w:r>
          </w:p>
          <w:p w14:paraId="6CAD4675" w14:textId="77777777" w:rsidR="00D239B1" w:rsidRPr="00B939C1" w:rsidRDefault="00D239B1" w:rsidP="00AF1A4B">
            <w:pPr>
              <w:pStyle w:val="ListParagraph"/>
              <w:ind w:left="360"/>
              <w:rPr>
                <w:rFonts w:cs="Arial"/>
                <w:b/>
                <w:bCs/>
                <w:sz w:val="18"/>
                <w:szCs w:val="18"/>
              </w:rPr>
            </w:pPr>
          </w:p>
          <w:p w14:paraId="4E74DAC2" w14:textId="7C43DEE1" w:rsidR="00D239B1" w:rsidRPr="00B939C1" w:rsidRDefault="00D239B1" w:rsidP="00D239B1">
            <w:pPr>
              <w:pStyle w:val="ListParagraph"/>
              <w:numPr>
                <w:ilvl w:val="0"/>
                <w:numId w:val="44"/>
              </w:numPr>
              <w:ind w:left="360"/>
              <w:rPr>
                <w:rFonts w:cs="Arial"/>
                <w:b/>
                <w:bCs/>
                <w:sz w:val="18"/>
                <w:szCs w:val="18"/>
              </w:rPr>
            </w:pPr>
            <w:r w:rsidRPr="00B939C1">
              <w:rPr>
                <w:rFonts w:cs="Arial"/>
                <w:b/>
                <w:bCs/>
                <w:sz w:val="18"/>
                <w:szCs w:val="18"/>
              </w:rPr>
              <w:t xml:space="preserve">Support to individuals with No Recourse to Public Funds (NRPF), </w:t>
            </w:r>
            <w:r w:rsidR="00812E9D" w:rsidRPr="00702D8C">
              <w:rPr>
                <w:rFonts w:cs="Arial"/>
                <w:sz w:val="18"/>
                <w:szCs w:val="18"/>
              </w:rPr>
              <w:t xml:space="preserve">funding </w:t>
            </w:r>
            <w:r w:rsidRPr="00B939C1">
              <w:rPr>
                <w:rFonts w:cs="Arial"/>
                <w:sz w:val="18"/>
                <w:szCs w:val="18"/>
                <w:lang w:val="en"/>
              </w:rPr>
              <w:t xml:space="preserve">can </w:t>
            </w:r>
            <w:r w:rsidR="00702D8C">
              <w:rPr>
                <w:rFonts w:cs="Arial"/>
                <w:sz w:val="18"/>
                <w:szCs w:val="18"/>
                <w:lang w:val="en"/>
              </w:rPr>
              <w:t>be provided, regardless of immigr</w:t>
            </w:r>
            <w:r w:rsidRPr="00B939C1">
              <w:rPr>
                <w:rFonts w:cs="Arial"/>
                <w:sz w:val="18"/>
                <w:szCs w:val="18"/>
                <w:lang w:val="en"/>
              </w:rPr>
              <w:t>ation status, if there is a genuine care need that does not arise solely from destitution, for example if:</w:t>
            </w:r>
          </w:p>
          <w:p w14:paraId="73F91FD0" w14:textId="77777777" w:rsidR="00D239B1" w:rsidRPr="00B939C1" w:rsidRDefault="00D239B1" w:rsidP="00AF1A4B">
            <w:pPr>
              <w:rPr>
                <w:b/>
                <w:bCs/>
                <w:sz w:val="18"/>
                <w:szCs w:val="18"/>
              </w:rPr>
            </w:pPr>
          </w:p>
          <w:p w14:paraId="37465883" w14:textId="77777777" w:rsidR="00D239B1" w:rsidRPr="00B939C1" w:rsidRDefault="00D239B1" w:rsidP="00D239B1">
            <w:pPr>
              <w:pStyle w:val="ListParagraph"/>
              <w:numPr>
                <w:ilvl w:val="0"/>
                <w:numId w:val="47"/>
              </w:numPr>
              <w:rPr>
                <w:rFonts w:cs="Arial"/>
                <w:sz w:val="18"/>
                <w:szCs w:val="18"/>
              </w:rPr>
            </w:pPr>
            <w:r w:rsidRPr="00B939C1">
              <w:rPr>
                <w:rFonts w:cs="Arial"/>
                <w:sz w:val="18"/>
                <w:szCs w:val="18"/>
              </w:rPr>
              <w:t>there are community care needs</w:t>
            </w:r>
          </w:p>
          <w:p w14:paraId="20BE6D70" w14:textId="77777777" w:rsidR="00D239B1" w:rsidRPr="00B939C1" w:rsidRDefault="00D239B1" w:rsidP="00D239B1">
            <w:pPr>
              <w:pStyle w:val="ListParagraph"/>
              <w:numPr>
                <w:ilvl w:val="0"/>
                <w:numId w:val="47"/>
              </w:numPr>
              <w:rPr>
                <w:rFonts w:cs="Arial"/>
                <w:sz w:val="18"/>
                <w:szCs w:val="18"/>
              </w:rPr>
            </w:pPr>
            <w:r w:rsidRPr="00B939C1">
              <w:rPr>
                <w:rFonts w:cs="Arial"/>
                <w:sz w:val="18"/>
                <w:szCs w:val="18"/>
              </w:rPr>
              <w:t>they have serious health problems</w:t>
            </w:r>
          </w:p>
          <w:p w14:paraId="4A8F0398" w14:textId="77777777" w:rsidR="00D239B1" w:rsidRDefault="00D239B1" w:rsidP="00D239B1">
            <w:pPr>
              <w:pStyle w:val="ListParagraph"/>
              <w:numPr>
                <w:ilvl w:val="0"/>
                <w:numId w:val="47"/>
              </w:numPr>
              <w:rPr>
                <w:rFonts w:cs="Arial"/>
                <w:sz w:val="18"/>
                <w:szCs w:val="18"/>
              </w:rPr>
            </w:pPr>
            <w:r w:rsidRPr="00B939C1">
              <w:rPr>
                <w:rFonts w:cs="Arial"/>
                <w:sz w:val="18"/>
                <w:szCs w:val="18"/>
              </w:rPr>
              <w:t>there is a risk to a child’s wellbeing</w:t>
            </w:r>
          </w:p>
          <w:p w14:paraId="3D13DB24" w14:textId="159F4557" w:rsidR="00557160" w:rsidRDefault="00557160" w:rsidP="00D35E2B">
            <w:pPr>
              <w:rPr>
                <w:sz w:val="18"/>
                <w:szCs w:val="18"/>
              </w:rPr>
            </w:pPr>
          </w:p>
          <w:p w14:paraId="44791EFB" w14:textId="72FC2D1B" w:rsidR="000E0678" w:rsidRPr="00D35E2B" w:rsidRDefault="000E0678" w:rsidP="00D35E2B">
            <w:pPr>
              <w:rPr>
                <w:sz w:val="18"/>
                <w:szCs w:val="18"/>
              </w:rPr>
            </w:pPr>
          </w:p>
        </w:tc>
      </w:tr>
    </w:tbl>
    <w:p w14:paraId="7BABA4B6" w14:textId="77777777" w:rsidR="00D239B1" w:rsidRPr="004E7D4A" w:rsidRDefault="00D239B1" w:rsidP="00D239B1"/>
    <w:p w14:paraId="29C515E9" w14:textId="38B5CBA3" w:rsidR="00C7790E" w:rsidRPr="00C7790E" w:rsidRDefault="00C7790E">
      <w:pPr>
        <w:rPr>
          <w:b/>
          <w:bCs/>
        </w:rPr>
      </w:pPr>
      <w:r w:rsidRPr="00C7790E">
        <w:rPr>
          <w:b/>
          <w:bCs/>
        </w:rPr>
        <w:t>Funding for households with children</w:t>
      </w:r>
    </w:p>
    <w:p w14:paraId="3151F6EB" w14:textId="77777777" w:rsidR="00C7790E" w:rsidRPr="00C7790E" w:rsidRDefault="00C7790E">
      <w:pPr>
        <w:rPr>
          <w:b/>
          <w:bCs/>
        </w:rPr>
      </w:pPr>
    </w:p>
    <w:p w14:paraId="742ACA1F" w14:textId="6BAEBE3D" w:rsidR="009654E0" w:rsidRPr="00CD3D38" w:rsidRDefault="00F42838">
      <w:r w:rsidRPr="00CD3D38">
        <w:t xml:space="preserve">Table 2 provides </w:t>
      </w:r>
      <w:r w:rsidR="00CD3D38" w:rsidRPr="00CD3D38">
        <w:t>the proposed funding levels for households with children</w:t>
      </w:r>
    </w:p>
    <w:p w14:paraId="2F6B5777" w14:textId="440734CA" w:rsidR="00CD3D38" w:rsidRDefault="00CD3D38">
      <w:pPr>
        <w:rPr>
          <w:b/>
          <w:bCs/>
        </w:rPr>
      </w:pPr>
    </w:p>
    <w:p w14:paraId="688D860E" w14:textId="1D19E644" w:rsidR="00CD3D38" w:rsidRPr="00403C08" w:rsidRDefault="00CD3D38" w:rsidP="00CD3D38">
      <w:pPr>
        <w:pStyle w:val="Caption"/>
        <w:keepNext/>
        <w:rPr>
          <w:b/>
          <w:bCs/>
          <w:i w:val="0"/>
          <w:iCs w:val="0"/>
          <w:color w:val="auto"/>
        </w:rPr>
      </w:pPr>
      <w:r w:rsidRPr="00403C08">
        <w:rPr>
          <w:b/>
          <w:bCs/>
          <w:i w:val="0"/>
          <w:iCs w:val="0"/>
          <w:color w:val="auto"/>
        </w:rPr>
        <w:t xml:space="preserve">Table </w:t>
      </w:r>
      <w:r>
        <w:rPr>
          <w:b/>
          <w:bCs/>
          <w:i w:val="0"/>
          <w:iCs w:val="0"/>
          <w:color w:val="auto"/>
        </w:rPr>
        <w:t>2</w:t>
      </w:r>
      <w:r w:rsidRPr="00403C08">
        <w:rPr>
          <w:b/>
          <w:bCs/>
          <w:i w:val="0"/>
          <w:iCs w:val="0"/>
          <w:color w:val="auto"/>
        </w:rPr>
        <w:t>: Proposed Funding for Households with Children</w:t>
      </w:r>
    </w:p>
    <w:tbl>
      <w:tblPr>
        <w:tblStyle w:val="TableGrid"/>
        <w:tblW w:w="5000" w:type="pct"/>
        <w:tblLayout w:type="fixed"/>
        <w:tblLook w:val="04A0" w:firstRow="1" w:lastRow="0" w:firstColumn="1" w:lastColumn="0" w:noHBand="0" w:noVBand="1"/>
      </w:tblPr>
      <w:tblGrid>
        <w:gridCol w:w="5157"/>
        <w:gridCol w:w="1219"/>
        <w:gridCol w:w="1322"/>
        <w:gridCol w:w="1318"/>
      </w:tblGrid>
      <w:tr w:rsidR="00CD3D38" w:rsidRPr="009C7A11" w14:paraId="5400F8B8" w14:textId="77777777" w:rsidTr="00B2710F">
        <w:tc>
          <w:tcPr>
            <w:tcW w:w="2860" w:type="pct"/>
            <w:shd w:val="clear" w:color="auto" w:fill="D9D9D9" w:themeFill="background1" w:themeFillShade="D9"/>
            <w:vAlign w:val="center"/>
          </w:tcPr>
          <w:p w14:paraId="185CC45E" w14:textId="77777777" w:rsidR="00CD3D38" w:rsidRPr="00403C08" w:rsidRDefault="00CD3D38" w:rsidP="00AF1A4B">
            <w:pPr>
              <w:jc w:val="center"/>
              <w:rPr>
                <w:sz w:val="18"/>
                <w:szCs w:val="18"/>
              </w:rPr>
            </w:pPr>
            <w:r w:rsidRPr="00403C08">
              <w:rPr>
                <w:b/>
                <w:bCs/>
                <w:color w:val="000000"/>
                <w:sz w:val="18"/>
                <w:szCs w:val="18"/>
              </w:rPr>
              <w:t>Category</w:t>
            </w:r>
          </w:p>
        </w:tc>
        <w:tc>
          <w:tcPr>
            <w:tcW w:w="676" w:type="pct"/>
            <w:shd w:val="clear" w:color="auto" w:fill="000000" w:themeFill="text1"/>
            <w:vAlign w:val="center"/>
          </w:tcPr>
          <w:p w14:paraId="39E61899" w14:textId="546F7DB5" w:rsidR="00CD3D38" w:rsidRPr="00403C08" w:rsidRDefault="00CD3D38" w:rsidP="00AF1A4B">
            <w:pPr>
              <w:jc w:val="center"/>
              <w:rPr>
                <w:sz w:val="18"/>
                <w:szCs w:val="18"/>
              </w:rPr>
            </w:pPr>
          </w:p>
        </w:tc>
        <w:tc>
          <w:tcPr>
            <w:tcW w:w="733" w:type="pct"/>
            <w:shd w:val="clear" w:color="auto" w:fill="000000" w:themeFill="text1"/>
            <w:vAlign w:val="center"/>
          </w:tcPr>
          <w:p w14:paraId="4B4A863D" w14:textId="54367613" w:rsidR="00CD3D38" w:rsidRPr="00403C08" w:rsidRDefault="00CD3D38" w:rsidP="00AF1A4B">
            <w:pPr>
              <w:jc w:val="center"/>
              <w:rPr>
                <w:sz w:val="18"/>
                <w:szCs w:val="18"/>
              </w:rPr>
            </w:pPr>
          </w:p>
        </w:tc>
        <w:tc>
          <w:tcPr>
            <w:tcW w:w="731" w:type="pct"/>
            <w:shd w:val="clear" w:color="auto" w:fill="000000" w:themeFill="text1"/>
            <w:vAlign w:val="center"/>
          </w:tcPr>
          <w:p w14:paraId="050CB824" w14:textId="485C9144" w:rsidR="00CD3D38" w:rsidRPr="00403C08" w:rsidRDefault="00CD3D38" w:rsidP="00AF1A4B">
            <w:pPr>
              <w:jc w:val="center"/>
              <w:rPr>
                <w:sz w:val="18"/>
                <w:szCs w:val="18"/>
              </w:rPr>
            </w:pPr>
          </w:p>
        </w:tc>
      </w:tr>
      <w:tr w:rsidR="005C6EAB" w:rsidRPr="009C7A11" w14:paraId="34F16D45" w14:textId="77777777" w:rsidTr="00B2710F">
        <w:tc>
          <w:tcPr>
            <w:tcW w:w="2860" w:type="pct"/>
            <w:vAlign w:val="center"/>
          </w:tcPr>
          <w:p w14:paraId="44529B29" w14:textId="77777777" w:rsidR="005C6EAB" w:rsidRPr="00403C08" w:rsidRDefault="005C6EAB" w:rsidP="005C6EAB">
            <w:pPr>
              <w:rPr>
                <w:sz w:val="18"/>
                <w:szCs w:val="18"/>
              </w:rPr>
            </w:pPr>
            <w:r w:rsidRPr="00403C08">
              <w:rPr>
                <w:b/>
                <w:bCs/>
                <w:color w:val="000000"/>
                <w:sz w:val="18"/>
                <w:szCs w:val="18"/>
              </w:rPr>
              <w:t>Families with Children in receipt of Free School Meals (FSM):</w:t>
            </w:r>
          </w:p>
        </w:tc>
        <w:tc>
          <w:tcPr>
            <w:tcW w:w="676" w:type="pct"/>
            <w:shd w:val="clear" w:color="auto" w:fill="000000" w:themeFill="text1"/>
            <w:vAlign w:val="center"/>
          </w:tcPr>
          <w:p w14:paraId="30175873" w14:textId="79F64D57" w:rsidR="005C6EAB" w:rsidRPr="00403C08" w:rsidRDefault="005C6EAB" w:rsidP="005C6EAB">
            <w:pPr>
              <w:jc w:val="center"/>
              <w:rPr>
                <w:sz w:val="18"/>
                <w:szCs w:val="18"/>
              </w:rPr>
            </w:pPr>
            <w:r w:rsidRPr="00403C08">
              <w:rPr>
                <w:b/>
                <w:bCs/>
                <w:sz w:val="18"/>
                <w:szCs w:val="18"/>
              </w:rPr>
              <w:t xml:space="preserve">Estimated No of </w:t>
            </w:r>
            <w:r>
              <w:rPr>
                <w:b/>
                <w:bCs/>
                <w:sz w:val="18"/>
                <w:szCs w:val="18"/>
              </w:rPr>
              <w:t>Children</w:t>
            </w:r>
          </w:p>
        </w:tc>
        <w:tc>
          <w:tcPr>
            <w:tcW w:w="733" w:type="pct"/>
            <w:shd w:val="clear" w:color="auto" w:fill="000000" w:themeFill="text1"/>
            <w:vAlign w:val="center"/>
          </w:tcPr>
          <w:p w14:paraId="0AA9047B" w14:textId="14CC0CDF" w:rsidR="005C6EAB" w:rsidRPr="00403C08" w:rsidRDefault="005C6EAB" w:rsidP="005C6EAB">
            <w:pPr>
              <w:jc w:val="center"/>
              <w:rPr>
                <w:sz w:val="18"/>
                <w:szCs w:val="18"/>
              </w:rPr>
            </w:pPr>
            <w:r w:rsidRPr="00403C08">
              <w:rPr>
                <w:b/>
                <w:bCs/>
                <w:color w:val="000000"/>
                <w:sz w:val="18"/>
                <w:szCs w:val="18"/>
              </w:rPr>
              <w:t xml:space="preserve">Proposed Funding per </w:t>
            </w:r>
            <w:r>
              <w:rPr>
                <w:b/>
                <w:bCs/>
                <w:color w:val="000000"/>
                <w:sz w:val="18"/>
                <w:szCs w:val="18"/>
              </w:rPr>
              <w:t>Child</w:t>
            </w:r>
          </w:p>
        </w:tc>
        <w:tc>
          <w:tcPr>
            <w:tcW w:w="731" w:type="pct"/>
            <w:shd w:val="clear" w:color="auto" w:fill="000000" w:themeFill="text1"/>
            <w:vAlign w:val="center"/>
          </w:tcPr>
          <w:p w14:paraId="111D87DA" w14:textId="5AE6BEF2" w:rsidR="005C6EAB" w:rsidRPr="00403C08" w:rsidRDefault="005C6EAB" w:rsidP="005C6EAB">
            <w:pPr>
              <w:jc w:val="center"/>
              <w:rPr>
                <w:sz w:val="18"/>
                <w:szCs w:val="18"/>
              </w:rPr>
            </w:pPr>
            <w:r w:rsidRPr="00403C08">
              <w:rPr>
                <w:b/>
                <w:bCs/>
                <w:sz w:val="18"/>
                <w:szCs w:val="18"/>
              </w:rPr>
              <w:t>Provisional Allocation of Funding (£)</w:t>
            </w:r>
          </w:p>
        </w:tc>
      </w:tr>
      <w:tr w:rsidR="00395DD4" w:rsidRPr="009C7A11" w14:paraId="7783FBCE" w14:textId="77777777" w:rsidTr="00770961">
        <w:tc>
          <w:tcPr>
            <w:tcW w:w="2860" w:type="pct"/>
            <w:vAlign w:val="center"/>
          </w:tcPr>
          <w:p w14:paraId="260B8964" w14:textId="466952F7" w:rsidR="00395DD4" w:rsidRPr="00403C08" w:rsidRDefault="00395DD4" w:rsidP="00AF1A4B">
            <w:pPr>
              <w:rPr>
                <w:color w:val="000000"/>
                <w:sz w:val="18"/>
                <w:szCs w:val="18"/>
              </w:rPr>
            </w:pPr>
            <w:r>
              <w:rPr>
                <w:color w:val="000000"/>
                <w:sz w:val="18"/>
                <w:szCs w:val="18"/>
              </w:rPr>
              <w:t>October 2021 Half-Term (</w:t>
            </w:r>
            <w:r w:rsidR="00F16F1F">
              <w:rPr>
                <w:color w:val="000000"/>
                <w:sz w:val="18"/>
                <w:szCs w:val="18"/>
              </w:rPr>
              <w:t>5 days</w:t>
            </w:r>
            <w:r>
              <w:rPr>
                <w:color w:val="000000"/>
                <w:sz w:val="18"/>
                <w:szCs w:val="18"/>
              </w:rPr>
              <w:t>)</w:t>
            </w:r>
          </w:p>
        </w:tc>
        <w:tc>
          <w:tcPr>
            <w:tcW w:w="676" w:type="pct"/>
            <w:vAlign w:val="center"/>
          </w:tcPr>
          <w:p w14:paraId="23A28F7B" w14:textId="56219874" w:rsidR="00395DD4" w:rsidRPr="00403C08" w:rsidRDefault="00654C81" w:rsidP="00AF1A4B">
            <w:pPr>
              <w:jc w:val="center"/>
              <w:rPr>
                <w:color w:val="000000"/>
                <w:sz w:val="18"/>
                <w:szCs w:val="18"/>
              </w:rPr>
            </w:pPr>
            <w:r>
              <w:rPr>
                <w:color w:val="000000"/>
                <w:sz w:val="18"/>
                <w:szCs w:val="18"/>
              </w:rPr>
              <w:t>6088</w:t>
            </w:r>
          </w:p>
        </w:tc>
        <w:tc>
          <w:tcPr>
            <w:tcW w:w="733" w:type="pct"/>
            <w:vAlign w:val="center"/>
          </w:tcPr>
          <w:p w14:paraId="2E672678" w14:textId="35C2392F" w:rsidR="00395DD4" w:rsidRDefault="00654C81" w:rsidP="00AF1A4B">
            <w:pPr>
              <w:jc w:val="center"/>
              <w:rPr>
                <w:color w:val="000000"/>
                <w:sz w:val="18"/>
                <w:szCs w:val="18"/>
              </w:rPr>
            </w:pPr>
            <w:r>
              <w:rPr>
                <w:color w:val="000000"/>
                <w:sz w:val="18"/>
                <w:szCs w:val="18"/>
              </w:rPr>
              <w:t>£3</w:t>
            </w:r>
            <w:r w:rsidRPr="00403C08">
              <w:rPr>
                <w:color w:val="000000"/>
                <w:sz w:val="18"/>
                <w:szCs w:val="18"/>
              </w:rPr>
              <w:t xml:space="preserve"> per </w:t>
            </w:r>
            <w:r>
              <w:rPr>
                <w:color w:val="000000"/>
                <w:sz w:val="18"/>
                <w:szCs w:val="18"/>
              </w:rPr>
              <w:t>day</w:t>
            </w:r>
            <w:r w:rsidRPr="00403C08">
              <w:rPr>
                <w:color w:val="000000"/>
                <w:sz w:val="18"/>
                <w:szCs w:val="18"/>
              </w:rPr>
              <w:t xml:space="preserve"> per </w:t>
            </w:r>
            <w:r>
              <w:rPr>
                <w:color w:val="000000"/>
                <w:sz w:val="18"/>
                <w:szCs w:val="18"/>
              </w:rPr>
              <w:t>child</w:t>
            </w:r>
          </w:p>
        </w:tc>
        <w:tc>
          <w:tcPr>
            <w:tcW w:w="731" w:type="pct"/>
            <w:vAlign w:val="center"/>
          </w:tcPr>
          <w:p w14:paraId="463B99B1" w14:textId="3A97F160" w:rsidR="00395DD4" w:rsidRDefault="00FC1DF9" w:rsidP="00AF1A4B">
            <w:pPr>
              <w:jc w:val="center"/>
              <w:rPr>
                <w:color w:val="000000"/>
                <w:sz w:val="18"/>
                <w:szCs w:val="18"/>
              </w:rPr>
            </w:pPr>
            <w:r>
              <w:rPr>
                <w:color w:val="000000"/>
                <w:sz w:val="18"/>
                <w:szCs w:val="18"/>
              </w:rPr>
              <w:t>£91,320</w:t>
            </w:r>
          </w:p>
        </w:tc>
      </w:tr>
      <w:tr w:rsidR="00CD3D38" w:rsidRPr="009C7A11" w14:paraId="3C89BBC0" w14:textId="77777777" w:rsidTr="00B2710F">
        <w:tc>
          <w:tcPr>
            <w:tcW w:w="2860" w:type="pct"/>
            <w:vAlign w:val="center"/>
          </w:tcPr>
          <w:p w14:paraId="2CF9B6F3" w14:textId="223DB9CB" w:rsidR="00CD3D38" w:rsidRPr="00403C08" w:rsidRDefault="00CD3D38" w:rsidP="00AF1A4B">
            <w:pPr>
              <w:rPr>
                <w:sz w:val="18"/>
                <w:szCs w:val="18"/>
              </w:rPr>
            </w:pPr>
            <w:r w:rsidRPr="00403C08">
              <w:rPr>
                <w:color w:val="000000"/>
                <w:sz w:val="18"/>
                <w:szCs w:val="18"/>
              </w:rPr>
              <w:t>Christmas 2021</w:t>
            </w:r>
            <w:r>
              <w:rPr>
                <w:color w:val="000000"/>
                <w:sz w:val="18"/>
                <w:szCs w:val="18"/>
              </w:rPr>
              <w:t>(</w:t>
            </w:r>
            <w:r w:rsidR="00F16F1F">
              <w:rPr>
                <w:color w:val="000000"/>
                <w:sz w:val="18"/>
                <w:szCs w:val="18"/>
              </w:rPr>
              <w:t>11 days</w:t>
            </w:r>
            <w:r>
              <w:rPr>
                <w:color w:val="000000"/>
                <w:sz w:val="18"/>
                <w:szCs w:val="18"/>
              </w:rPr>
              <w:t>)</w:t>
            </w:r>
          </w:p>
        </w:tc>
        <w:tc>
          <w:tcPr>
            <w:tcW w:w="676" w:type="pct"/>
            <w:vAlign w:val="center"/>
          </w:tcPr>
          <w:p w14:paraId="02EC5BAD" w14:textId="350D5D4A" w:rsidR="00CD3D38" w:rsidRPr="00403C08" w:rsidRDefault="005C6EAB" w:rsidP="00AF1A4B">
            <w:pPr>
              <w:jc w:val="center"/>
              <w:rPr>
                <w:sz w:val="18"/>
                <w:szCs w:val="18"/>
              </w:rPr>
            </w:pPr>
            <w:r>
              <w:rPr>
                <w:color w:val="000000"/>
                <w:sz w:val="18"/>
                <w:szCs w:val="18"/>
              </w:rPr>
              <w:t>6088</w:t>
            </w:r>
          </w:p>
        </w:tc>
        <w:tc>
          <w:tcPr>
            <w:tcW w:w="733" w:type="pct"/>
            <w:vAlign w:val="center"/>
          </w:tcPr>
          <w:p w14:paraId="4085B5B1" w14:textId="6F49513F" w:rsidR="00CD3D38" w:rsidRPr="00403C08" w:rsidRDefault="00CD3D38" w:rsidP="00AF1A4B">
            <w:pPr>
              <w:jc w:val="center"/>
              <w:rPr>
                <w:sz w:val="18"/>
                <w:szCs w:val="18"/>
              </w:rPr>
            </w:pPr>
            <w:r>
              <w:rPr>
                <w:color w:val="000000"/>
                <w:sz w:val="18"/>
                <w:szCs w:val="18"/>
              </w:rPr>
              <w:t>£</w:t>
            </w:r>
            <w:r w:rsidR="005C6EAB">
              <w:rPr>
                <w:color w:val="000000"/>
                <w:sz w:val="18"/>
                <w:szCs w:val="18"/>
              </w:rPr>
              <w:t>3</w:t>
            </w:r>
            <w:r w:rsidRPr="00403C08">
              <w:rPr>
                <w:color w:val="000000"/>
                <w:sz w:val="18"/>
                <w:szCs w:val="18"/>
              </w:rPr>
              <w:t xml:space="preserve"> per </w:t>
            </w:r>
            <w:r w:rsidR="00654C81">
              <w:rPr>
                <w:color w:val="000000"/>
                <w:sz w:val="18"/>
                <w:szCs w:val="18"/>
              </w:rPr>
              <w:t>day</w:t>
            </w:r>
            <w:r w:rsidRPr="00403C08">
              <w:rPr>
                <w:color w:val="000000"/>
                <w:sz w:val="18"/>
                <w:szCs w:val="18"/>
              </w:rPr>
              <w:t xml:space="preserve"> per </w:t>
            </w:r>
            <w:r w:rsidR="00654C81">
              <w:rPr>
                <w:color w:val="000000"/>
                <w:sz w:val="18"/>
                <w:szCs w:val="18"/>
              </w:rPr>
              <w:t xml:space="preserve">child plus additional £10 for Christmas </w:t>
            </w:r>
          </w:p>
        </w:tc>
        <w:tc>
          <w:tcPr>
            <w:tcW w:w="731" w:type="pct"/>
            <w:vAlign w:val="center"/>
          </w:tcPr>
          <w:p w14:paraId="649829D5" w14:textId="6ABECBE1" w:rsidR="00CD3D38" w:rsidRPr="00403C08" w:rsidRDefault="00FC1DF9" w:rsidP="00AF1A4B">
            <w:pPr>
              <w:jc w:val="center"/>
              <w:rPr>
                <w:sz w:val="18"/>
                <w:szCs w:val="18"/>
              </w:rPr>
            </w:pPr>
            <w:r>
              <w:rPr>
                <w:color w:val="000000"/>
                <w:sz w:val="18"/>
                <w:szCs w:val="18"/>
              </w:rPr>
              <w:t>£261,784</w:t>
            </w:r>
          </w:p>
        </w:tc>
      </w:tr>
      <w:tr w:rsidR="00654C81" w:rsidRPr="009C7A11" w14:paraId="1958D2F6" w14:textId="77777777" w:rsidTr="00B2710F">
        <w:tc>
          <w:tcPr>
            <w:tcW w:w="2860" w:type="pct"/>
            <w:vAlign w:val="center"/>
          </w:tcPr>
          <w:p w14:paraId="0AF499C2" w14:textId="34A06974" w:rsidR="00654C81" w:rsidRPr="00403C08" w:rsidRDefault="00654C81" w:rsidP="00654C81">
            <w:pPr>
              <w:rPr>
                <w:sz w:val="18"/>
                <w:szCs w:val="18"/>
              </w:rPr>
            </w:pPr>
            <w:r w:rsidRPr="00403C08">
              <w:rPr>
                <w:color w:val="000000"/>
                <w:sz w:val="18"/>
                <w:szCs w:val="18"/>
              </w:rPr>
              <w:t>February 2022 Half-Term</w:t>
            </w:r>
            <w:r>
              <w:rPr>
                <w:color w:val="000000"/>
                <w:sz w:val="18"/>
                <w:szCs w:val="18"/>
              </w:rPr>
              <w:t xml:space="preserve"> (5 days)</w:t>
            </w:r>
          </w:p>
        </w:tc>
        <w:tc>
          <w:tcPr>
            <w:tcW w:w="676" w:type="pct"/>
            <w:vAlign w:val="center"/>
          </w:tcPr>
          <w:p w14:paraId="64BB5541" w14:textId="08FA6481" w:rsidR="00654C81" w:rsidRPr="00403C08" w:rsidRDefault="00654C81" w:rsidP="00654C81">
            <w:pPr>
              <w:jc w:val="center"/>
              <w:rPr>
                <w:sz w:val="18"/>
                <w:szCs w:val="18"/>
              </w:rPr>
            </w:pPr>
            <w:r>
              <w:rPr>
                <w:color w:val="000000"/>
                <w:sz w:val="18"/>
                <w:szCs w:val="18"/>
              </w:rPr>
              <w:t>6088</w:t>
            </w:r>
          </w:p>
        </w:tc>
        <w:tc>
          <w:tcPr>
            <w:tcW w:w="733" w:type="pct"/>
            <w:vAlign w:val="center"/>
          </w:tcPr>
          <w:p w14:paraId="01C29E25" w14:textId="08EE68C8" w:rsidR="00654C81" w:rsidRPr="00403C08" w:rsidRDefault="00654C81" w:rsidP="00654C81">
            <w:pPr>
              <w:jc w:val="center"/>
              <w:rPr>
                <w:sz w:val="18"/>
                <w:szCs w:val="18"/>
              </w:rPr>
            </w:pPr>
            <w:r>
              <w:rPr>
                <w:color w:val="000000"/>
                <w:sz w:val="18"/>
                <w:szCs w:val="18"/>
              </w:rPr>
              <w:t>£3</w:t>
            </w:r>
            <w:r w:rsidRPr="00403C08">
              <w:rPr>
                <w:color w:val="000000"/>
                <w:sz w:val="18"/>
                <w:szCs w:val="18"/>
              </w:rPr>
              <w:t xml:space="preserve"> per </w:t>
            </w:r>
            <w:r>
              <w:rPr>
                <w:color w:val="000000"/>
                <w:sz w:val="18"/>
                <w:szCs w:val="18"/>
              </w:rPr>
              <w:t>day</w:t>
            </w:r>
            <w:r w:rsidRPr="00403C08">
              <w:rPr>
                <w:color w:val="000000"/>
                <w:sz w:val="18"/>
                <w:szCs w:val="18"/>
              </w:rPr>
              <w:t xml:space="preserve"> per </w:t>
            </w:r>
            <w:r>
              <w:rPr>
                <w:color w:val="000000"/>
                <w:sz w:val="18"/>
                <w:szCs w:val="18"/>
              </w:rPr>
              <w:t xml:space="preserve">child </w:t>
            </w:r>
          </w:p>
        </w:tc>
        <w:tc>
          <w:tcPr>
            <w:tcW w:w="731" w:type="pct"/>
            <w:vAlign w:val="center"/>
          </w:tcPr>
          <w:p w14:paraId="2239AAC4" w14:textId="3D3671CF" w:rsidR="00654C81" w:rsidRPr="00403C08" w:rsidRDefault="00FC1DF9" w:rsidP="00654C81">
            <w:pPr>
              <w:jc w:val="center"/>
              <w:rPr>
                <w:sz w:val="18"/>
                <w:szCs w:val="18"/>
              </w:rPr>
            </w:pPr>
            <w:r>
              <w:rPr>
                <w:color w:val="000000"/>
                <w:sz w:val="18"/>
                <w:szCs w:val="18"/>
              </w:rPr>
              <w:t>£91,320</w:t>
            </w:r>
          </w:p>
        </w:tc>
      </w:tr>
      <w:tr w:rsidR="00654C81" w:rsidRPr="009C7A11" w14:paraId="2D055AEB" w14:textId="77777777" w:rsidTr="00B2710F">
        <w:tc>
          <w:tcPr>
            <w:tcW w:w="2860" w:type="pct"/>
            <w:vAlign w:val="center"/>
          </w:tcPr>
          <w:p w14:paraId="7FA1E2DB" w14:textId="6CB8F208" w:rsidR="00654C81" w:rsidRPr="00403C08" w:rsidRDefault="00654C81" w:rsidP="00654C81">
            <w:pPr>
              <w:rPr>
                <w:sz w:val="18"/>
                <w:szCs w:val="18"/>
              </w:rPr>
            </w:pPr>
            <w:r w:rsidRPr="00403C08">
              <w:rPr>
                <w:color w:val="000000"/>
                <w:sz w:val="18"/>
                <w:szCs w:val="18"/>
              </w:rPr>
              <w:t>End of March 2022</w:t>
            </w:r>
            <w:r>
              <w:rPr>
                <w:color w:val="000000"/>
                <w:sz w:val="18"/>
                <w:szCs w:val="18"/>
              </w:rPr>
              <w:t xml:space="preserve"> (11 days)</w:t>
            </w:r>
          </w:p>
        </w:tc>
        <w:tc>
          <w:tcPr>
            <w:tcW w:w="676" w:type="pct"/>
            <w:vAlign w:val="center"/>
          </w:tcPr>
          <w:p w14:paraId="0088F44F" w14:textId="0E2A02F6" w:rsidR="00654C81" w:rsidRPr="00403C08" w:rsidRDefault="00654C81" w:rsidP="00654C81">
            <w:pPr>
              <w:jc w:val="center"/>
              <w:rPr>
                <w:sz w:val="18"/>
                <w:szCs w:val="18"/>
              </w:rPr>
            </w:pPr>
            <w:r>
              <w:rPr>
                <w:color w:val="000000"/>
                <w:sz w:val="18"/>
                <w:szCs w:val="18"/>
              </w:rPr>
              <w:t>6088</w:t>
            </w:r>
          </w:p>
        </w:tc>
        <w:tc>
          <w:tcPr>
            <w:tcW w:w="733" w:type="pct"/>
            <w:vAlign w:val="center"/>
          </w:tcPr>
          <w:p w14:paraId="21111AD8" w14:textId="7CC05A20" w:rsidR="00654C81" w:rsidRPr="00403C08" w:rsidRDefault="00654C81" w:rsidP="00654C81">
            <w:pPr>
              <w:jc w:val="center"/>
              <w:rPr>
                <w:sz w:val="18"/>
                <w:szCs w:val="18"/>
              </w:rPr>
            </w:pPr>
            <w:r>
              <w:rPr>
                <w:color w:val="000000"/>
                <w:sz w:val="18"/>
                <w:szCs w:val="18"/>
              </w:rPr>
              <w:t>£3</w:t>
            </w:r>
            <w:r w:rsidRPr="00403C08">
              <w:rPr>
                <w:color w:val="000000"/>
                <w:sz w:val="18"/>
                <w:szCs w:val="18"/>
              </w:rPr>
              <w:t xml:space="preserve"> per </w:t>
            </w:r>
            <w:r>
              <w:rPr>
                <w:color w:val="000000"/>
                <w:sz w:val="18"/>
                <w:szCs w:val="18"/>
              </w:rPr>
              <w:t>day</w:t>
            </w:r>
            <w:r w:rsidRPr="00403C08">
              <w:rPr>
                <w:color w:val="000000"/>
                <w:sz w:val="18"/>
                <w:szCs w:val="18"/>
              </w:rPr>
              <w:t xml:space="preserve"> per </w:t>
            </w:r>
            <w:r>
              <w:rPr>
                <w:color w:val="000000"/>
                <w:sz w:val="18"/>
                <w:szCs w:val="18"/>
              </w:rPr>
              <w:t xml:space="preserve">child </w:t>
            </w:r>
          </w:p>
        </w:tc>
        <w:tc>
          <w:tcPr>
            <w:tcW w:w="731" w:type="pct"/>
            <w:vAlign w:val="center"/>
          </w:tcPr>
          <w:p w14:paraId="283FA763" w14:textId="7A4E77C1" w:rsidR="00654C81" w:rsidRPr="00403C08" w:rsidRDefault="00D55C19" w:rsidP="00654C81">
            <w:pPr>
              <w:jc w:val="center"/>
              <w:rPr>
                <w:sz w:val="18"/>
                <w:szCs w:val="18"/>
              </w:rPr>
            </w:pPr>
            <w:r>
              <w:rPr>
                <w:color w:val="000000"/>
                <w:sz w:val="18"/>
                <w:szCs w:val="18"/>
              </w:rPr>
              <w:t xml:space="preserve"> £200,904</w:t>
            </w:r>
          </w:p>
        </w:tc>
      </w:tr>
      <w:tr w:rsidR="005C6EAB" w:rsidRPr="009C7A11" w:rsidDel="00770961" w14:paraId="15F9A026" w14:textId="77777777" w:rsidTr="00770961">
        <w:tc>
          <w:tcPr>
            <w:tcW w:w="2860" w:type="pct"/>
            <w:vAlign w:val="center"/>
          </w:tcPr>
          <w:p w14:paraId="01A07407" w14:textId="2CA69ADA" w:rsidR="005C6EAB" w:rsidRPr="00403C08" w:rsidDel="00770961" w:rsidRDefault="005C6EAB" w:rsidP="005C6EAB">
            <w:pPr>
              <w:rPr>
                <w:b/>
                <w:bCs/>
                <w:color w:val="000000"/>
                <w:sz w:val="18"/>
                <w:szCs w:val="18"/>
              </w:rPr>
            </w:pPr>
          </w:p>
        </w:tc>
        <w:tc>
          <w:tcPr>
            <w:tcW w:w="676" w:type="pct"/>
            <w:vAlign w:val="center"/>
          </w:tcPr>
          <w:p w14:paraId="038FD02B" w14:textId="454A06CB" w:rsidR="005C6EAB" w:rsidRPr="00403C08" w:rsidDel="00770961" w:rsidRDefault="005C6EAB" w:rsidP="005C6EAB">
            <w:pPr>
              <w:jc w:val="center"/>
              <w:rPr>
                <w:color w:val="000000"/>
                <w:sz w:val="18"/>
                <w:szCs w:val="18"/>
              </w:rPr>
            </w:pPr>
            <w:r w:rsidRPr="00403C08">
              <w:rPr>
                <w:b/>
                <w:bCs/>
                <w:sz w:val="18"/>
                <w:szCs w:val="18"/>
              </w:rPr>
              <w:t>Estimated No of Households</w:t>
            </w:r>
          </w:p>
        </w:tc>
        <w:tc>
          <w:tcPr>
            <w:tcW w:w="733" w:type="pct"/>
            <w:vAlign w:val="center"/>
          </w:tcPr>
          <w:p w14:paraId="3F31A7C3" w14:textId="43F36559" w:rsidR="005C6EAB" w:rsidRPr="00403C08" w:rsidDel="00770961" w:rsidRDefault="005C6EAB" w:rsidP="005C6EAB">
            <w:pPr>
              <w:jc w:val="center"/>
              <w:rPr>
                <w:color w:val="000000"/>
                <w:sz w:val="18"/>
                <w:szCs w:val="18"/>
              </w:rPr>
            </w:pPr>
            <w:r w:rsidRPr="00403C08">
              <w:rPr>
                <w:b/>
                <w:bCs/>
                <w:color w:val="000000"/>
                <w:sz w:val="18"/>
                <w:szCs w:val="18"/>
              </w:rPr>
              <w:t>Proposed Funding per Household</w:t>
            </w:r>
          </w:p>
        </w:tc>
        <w:tc>
          <w:tcPr>
            <w:tcW w:w="731" w:type="pct"/>
            <w:vAlign w:val="center"/>
          </w:tcPr>
          <w:p w14:paraId="6EFDB445" w14:textId="6B83EBBC" w:rsidR="005C6EAB" w:rsidRPr="00403C08" w:rsidDel="00770961" w:rsidRDefault="005C6EAB" w:rsidP="005C6EAB">
            <w:pPr>
              <w:jc w:val="center"/>
              <w:rPr>
                <w:color w:val="000000"/>
                <w:sz w:val="18"/>
                <w:szCs w:val="18"/>
              </w:rPr>
            </w:pPr>
            <w:r w:rsidRPr="00403C08">
              <w:rPr>
                <w:b/>
                <w:bCs/>
                <w:sz w:val="18"/>
                <w:szCs w:val="18"/>
              </w:rPr>
              <w:t>Provisional Allocation of Funding (£)</w:t>
            </w:r>
          </w:p>
        </w:tc>
      </w:tr>
      <w:tr w:rsidR="005C6EAB" w:rsidRPr="009C7A11" w:rsidDel="00770961" w14:paraId="0F013B20" w14:textId="77777777" w:rsidTr="00770961">
        <w:tc>
          <w:tcPr>
            <w:tcW w:w="2860" w:type="pct"/>
            <w:vAlign w:val="center"/>
          </w:tcPr>
          <w:p w14:paraId="248186A2" w14:textId="2F552A50" w:rsidR="005C6EAB" w:rsidRPr="00403C08" w:rsidDel="00770961" w:rsidRDefault="00342F9E" w:rsidP="005C6EAB">
            <w:pPr>
              <w:rPr>
                <w:b/>
                <w:bCs/>
                <w:color w:val="000000"/>
                <w:sz w:val="18"/>
                <w:szCs w:val="18"/>
              </w:rPr>
            </w:pPr>
            <w:r>
              <w:rPr>
                <w:b/>
                <w:bCs/>
                <w:color w:val="000000"/>
                <w:sz w:val="18"/>
                <w:szCs w:val="18"/>
              </w:rPr>
              <w:t xml:space="preserve">Working age </w:t>
            </w:r>
            <w:r w:rsidR="000B088C">
              <w:rPr>
                <w:b/>
                <w:bCs/>
                <w:color w:val="000000"/>
                <w:sz w:val="18"/>
                <w:szCs w:val="18"/>
              </w:rPr>
              <w:t>f</w:t>
            </w:r>
            <w:r w:rsidR="00761195">
              <w:rPr>
                <w:b/>
                <w:bCs/>
                <w:color w:val="000000"/>
                <w:sz w:val="18"/>
                <w:szCs w:val="18"/>
              </w:rPr>
              <w:t>amilies with Children in receipt of Council Tax Support</w:t>
            </w:r>
            <w:r w:rsidR="00920C02">
              <w:rPr>
                <w:b/>
                <w:bCs/>
                <w:color w:val="000000"/>
                <w:sz w:val="18"/>
                <w:szCs w:val="18"/>
              </w:rPr>
              <w:t xml:space="preserve"> – one off payment</w:t>
            </w:r>
          </w:p>
        </w:tc>
        <w:tc>
          <w:tcPr>
            <w:tcW w:w="676" w:type="pct"/>
            <w:vAlign w:val="center"/>
          </w:tcPr>
          <w:p w14:paraId="1816AA81" w14:textId="7C2031B1" w:rsidR="005C6EAB" w:rsidRPr="00403C08" w:rsidDel="00770961" w:rsidRDefault="00964146" w:rsidP="005C6EAB">
            <w:pPr>
              <w:jc w:val="center"/>
              <w:rPr>
                <w:color w:val="000000"/>
                <w:sz w:val="18"/>
                <w:szCs w:val="18"/>
              </w:rPr>
            </w:pPr>
            <w:r>
              <w:rPr>
                <w:color w:val="000000"/>
                <w:sz w:val="18"/>
                <w:szCs w:val="18"/>
              </w:rPr>
              <w:t>5030</w:t>
            </w:r>
          </w:p>
        </w:tc>
        <w:tc>
          <w:tcPr>
            <w:tcW w:w="733" w:type="pct"/>
            <w:vAlign w:val="center"/>
          </w:tcPr>
          <w:p w14:paraId="3897CC70" w14:textId="6B6DC4EA" w:rsidR="005C6EAB" w:rsidRPr="00403C08" w:rsidDel="00770961" w:rsidRDefault="00761195" w:rsidP="005C6EAB">
            <w:pPr>
              <w:jc w:val="center"/>
              <w:rPr>
                <w:color w:val="000000"/>
                <w:sz w:val="18"/>
                <w:szCs w:val="18"/>
              </w:rPr>
            </w:pPr>
            <w:r>
              <w:rPr>
                <w:color w:val="000000"/>
                <w:sz w:val="18"/>
                <w:szCs w:val="18"/>
              </w:rPr>
              <w:t>£40 + postage</w:t>
            </w:r>
          </w:p>
        </w:tc>
        <w:tc>
          <w:tcPr>
            <w:tcW w:w="731" w:type="pct"/>
            <w:vAlign w:val="center"/>
          </w:tcPr>
          <w:p w14:paraId="328AB9A8" w14:textId="339464B9" w:rsidR="005C6EAB" w:rsidRPr="00403C08" w:rsidDel="00770961" w:rsidRDefault="00FC1B45" w:rsidP="005C6EAB">
            <w:pPr>
              <w:jc w:val="center"/>
              <w:rPr>
                <w:color w:val="000000"/>
                <w:sz w:val="18"/>
                <w:szCs w:val="18"/>
              </w:rPr>
            </w:pPr>
            <w:r>
              <w:rPr>
                <w:color w:val="000000"/>
                <w:sz w:val="18"/>
                <w:szCs w:val="18"/>
              </w:rPr>
              <w:t>£204,469.50</w:t>
            </w:r>
          </w:p>
        </w:tc>
      </w:tr>
      <w:tr w:rsidR="005C6EAB" w:rsidRPr="009C7A11" w:rsidDel="00770961" w14:paraId="182D0559" w14:textId="77777777" w:rsidTr="00770961">
        <w:tc>
          <w:tcPr>
            <w:tcW w:w="2860" w:type="pct"/>
            <w:vAlign w:val="center"/>
          </w:tcPr>
          <w:p w14:paraId="2C4A972E" w14:textId="71451AFF" w:rsidR="005C6EAB" w:rsidRPr="00403C08" w:rsidDel="00770961" w:rsidRDefault="000B088C" w:rsidP="005C6EAB">
            <w:pPr>
              <w:rPr>
                <w:b/>
                <w:bCs/>
                <w:color w:val="000000"/>
                <w:sz w:val="18"/>
                <w:szCs w:val="18"/>
              </w:rPr>
            </w:pPr>
            <w:r>
              <w:rPr>
                <w:b/>
                <w:bCs/>
                <w:color w:val="000000"/>
                <w:sz w:val="18"/>
                <w:szCs w:val="18"/>
              </w:rPr>
              <w:t>Households</w:t>
            </w:r>
            <w:r w:rsidR="00FC1B45">
              <w:rPr>
                <w:b/>
                <w:bCs/>
                <w:color w:val="000000"/>
                <w:sz w:val="18"/>
                <w:szCs w:val="18"/>
              </w:rPr>
              <w:t xml:space="preserve"> with Children in Emergency Accommodation and in receipt of Housing Benefit</w:t>
            </w:r>
            <w:r w:rsidR="00920C02">
              <w:rPr>
                <w:b/>
                <w:bCs/>
                <w:color w:val="000000"/>
                <w:sz w:val="18"/>
                <w:szCs w:val="18"/>
              </w:rPr>
              <w:t xml:space="preserve"> – five monthly payments from Nov 2021 to Mar 2022</w:t>
            </w:r>
          </w:p>
        </w:tc>
        <w:tc>
          <w:tcPr>
            <w:tcW w:w="676" w:type="pct"/>
            <w:vAlign w:val="center"/>
          </w:tcPr>
          <w:p w14:paraId="44968E76" w14:textId="23BD70F6" w:rsidR="005C6EAB" w:rsidRPr="00403C08" w:rsidDel="00770961" w:rsidRDefault="006B16A2" w:rsidP="005C6EAB">
            <w:pPr>
              <w:jc w:val="center"/>
              <w:rPr>
                <w:color w:val="000000"/>
                <w:sz w:val="18"/>
                <w:szCs w:val="18"/>
              </w:rPr>
            </w:pPr>
            <w:r>
              <w:rPr>
                <w:color w:val="000000"/>
                <w:sz w:val="18"/>
                <w:szCs w:val="18"/>
              </w:rPr>
              <w:t>83</w:t>
            </w:r>
          </w:p>
        </w:tc>
        <w:tc>
          <w:tcPr>
            <w:tcW w:w="733" w:type="pct"/>
            <w:vAlign w:val="center"/>
          </w:tcPr>
          <w:p w14:paraId="5EE41B08" w14:textId="219F30A1" w:rsidR="005C6EAB" w:rsidRPr="00403C08" w:rsidDel="00770961" w:rsidRDefault="00970D7F" w:rsidP="005C6EAB">
            <w:pPr>
              <w:jc w:val="center"/>
              <w:rPr>
                <w:color w:val="000000"/>
                <w:sz w:val="18"/>
                <w:szCs w:val="18"/>
              </w:rPr>
            </w:pPr>
            <w:r>
              <w:rPr>
                <w:color w:val="000000"/>
                <w:sz w:val="18"/>
                <w:szCs w:val="18"/>
              </w:rPr>
              <w:t>£180 + postage</w:t>
            </w:r>
          </w:p>
        </w:tc>
        <w:tc>
          <w:tcPr>
            <w:tcW w:w="731" w:type="pct"/>
            <w:vAlign w:val="center"/>
          </w:tcPr>
          <w:p w14:paraId="6FEDFDC3" w14:textId="7F7D6670" w:rsidR="005C6EAB" w:rsidRPr="00403C08" w:rsidDel="00770961" w:rsidRDefault="006B6A04" w:rsidP="005C6EAB">
            <w:pPr>
              <w:jc w:val="center"/>
              <w:rPr>
                <w:color w:val="000000"/>
                <w:sz w:val="18"/>
                <w:szCs w:val="18"/>
              </w:rPr>
            </w:pPr>
            <w:r>
              <w:rPr>
                <w:color w:val="000000"/>
                <w:sz w:val="18"/>
                <w:szCs w:val="18"/>
              </w:rPr>
              <w:t>£15,209.75</w:t>
            </w:r>
          </w:p>
        </w:tc>
      </w:tr>
      <w:tr w:rsidR="005C6EAB" w:rsidRPr="009C7A11" w:rsidDel="00770961" w14:paraId="7F7802F6" w14:textId="77777777" w:rsidTr="00770961">
        <w:tc>
          <w:tcPr>
            <w:tcW w:w="2860" w:type="pct"/>
            <w:vAlign w:val="center"/>
          </w:tcPr>
          <w:p w14:paraId="38B0BC53" w14:textId="77777777" w:rsidR="005C6EAB" w:rsidRPr="00403C08" w:rsidDel="00770961" w:rsidRDefault="005C6EAB" w:rsidP="005C6EAB">
            <w:pPr>
              <w:rPr>
                <w:b/>
                <w:bCs/>
                <w:color w:val="000000"/>
                <w:sz w:val="18"/>
                <w:szCs w:val="18"/>
              </w:rPr>
            </w:pPr>
          </w:p>
        </w:tc>
        <w:tc>
          <w:tcPr>
            <w:tcW w:w="676" w:type="pct"/>
            <w:vAlign w:val="center"/>
          </w:tcPr>
          <w:p w14:paraId="6F35996F" w14:textId="77777777" w:rsidR="005C6EAB" w:rsidRPr="00403C08" w:rsidDel="00770961" w:rsidRDefault="005C6EAB" w:rsidP="005C6EAB">
            <w:pPr>
              <w:jc w:val="center"/>
              <w:rPr>
                <w:color w:val="000000"/>
                <w:sz w:val="18"/>
                <w:szCs w:val="18"/>
              </w:rPr>
            </w:pPr>
          </w:p>
        </w:tc>
        <w:tc>
          <w:tcPr>
            <w:tcW w:w="733" w:type="pct"/>
            <w:vAlign w:val="center"/>
          </w:tcPr>
          <w:p w14:paraId="764C3CFE" w14:textId="77777777" w:rsidR="005C6EAB" w:rsidRPr="00403C08" w:rsidDel="00770961" w:rsidRDefault="005C6EAB" w:rsidP="005C6EAB">
            <w:pPr>
              <w:jc w:val="center"/>
              <w:rPr>
                <w:color w:val="000000"/>
                <w:sz w:val="18"/>
                <w:szCs w:val="18"/>
              </w:rPr>
            </w:pPr>
          </w:p>
        </w:tc>
        <w:tc>
          <w:tcPr>
            <w:tcW w:w="731" w:type="pct"/>
            <w:vAlign w:val="center"/>
          </w:tcPr>
          <w:p w14:paraId="65CCDE46" w14:textId="77777777" w:rsidR="005C6EAB" w:rsidRPr="00403C08" w:rsidDel="00770961" w:rsidRDefault="005C6EAB" w:rsidP="005C6EAB">
            <w:pPr>
              <w:jc w:val="center"/>
              <w:rPr>
                <w:color w:val="000000"/>
                <w:sz w:val="18"/>
                <w:szCs w:val="18"/>
              </w:rPr>
            </w:pPr>
          </w:p>
        </w:tc>
      </w:tr>
      <w:tr w:rsidR="005C6EAB" w:rsidRPr="009C7A11" w14:paraId="7BF49A40" w14:textId="77777777" w:rsidTr="00B2710F">
        <w:tc>
          <w:tcPr>
            <w:tcW w:w="2860" w:type="pct"/>
            <w:shd w:val="clear" w:color="auto" w:fill="D9D9D9" w:themeFill="background1" w:themeFillShade="D9"/>
            <w:vAlign w:val="center"/>
          </w:tcPr>
          <w:p w14:paraId="1ED59659" w14:textId="77777777" w:rsidR="005C6EAB" w:rsidRPr="00403C08" w:rsidRDefault="005C6EAB" w:rsidP="005C6EAB">
            <w:pPr>
              <w:rPr>
                <w:sz w:val="18"/>
                <w:szCs w:val="18"/>
              </w:rPr>
            </w:pPr>
            <w:r w:rsidRPr="00403C08">
              <w:rPr>
                <w:b/>
                <w:bCs/>
                <w:sz w:val="18"/>
                <w:szCs w:val="18"/>
              </w:rPr>
              <w:t xml:space="preserve">Total </w:t>
            </w:r>
          </w:p>
        </w:tc>
        <w:tc>
          <w:tcPr>
            <w:tcW w:w="676" w:type="pct"/>
            <w:shd w:val="clear" w:color="auto" w:fill="D9D9D9" w:themeFill="background1" w:themeFillShade="D9"/>
            <w:vAlign w:val="center"/>
          </w:tcPr>
          <w:p w14:paraId="02F5A88E" w14:textId="77777777" w:rsidR="005C6EAB" w:rsidRPr="00403C08" w:rsidRDefault="005C6EAB" w:rsidP="005C6EAB">
            <w:pPr>
              <w:jc w:val="center"/>
              <w:rPr>
                <w:sz w:val="18"/>
                <w:szCs w:val="18"/>
              </w:rPr>
            </w:pPr>
          </w:p>
        </w:tc>
        <w:tc>
          <w:tcPr>
            <w:tcW w:w="733" w:type="pct"/>
            <w:shd w:val="clear" w:color="auto" w:fill="D9D9D9" w:themeFill="background1" w:themeFillShade="D9"/>
            <w:vAlign w:val="center"/>
          </w:tcPr>
          <w:p w14:paraId="2550095C" w14:textId="77777777" w:rsidR="005C6EAB" w:rsidRPr="00403C08" w:rsidRDefault="005C6EAB" w:rsidP="005C6EAB">
            <w:pPr>
              <w:jc w:val="center"/>
              <w:rPr>
                <w:sz w:val="18"/>
                <w:szCs w:val="18"/>
              </w:rPr>
            </w:pPr>
          </w:p>
        </w:tc>
        <w:tc>
          <w:tcPr>
            <w:tcW w:w="731" w:type="pct"/>
            <w:shd w:val="clear" w:color="auto" w:fill="D9D9D9" w:themeFill="background1" w:themeFillShade="D9"/>
            <w:vAlign w:val="center"/>
          </w:tcPr>
          <w:p w14:paraId="0A83C3A0" w14:textId="01FFAA2C" w:rsidR="005C6EAB" w:rsidRPr="00403C08" w:rsidRDefault="005C6EAB" w:rsidP="005C6EAB">
            <w:pPr>
              <w:jc w:val="center"/>
              <w:rPr>
                <w:sz w:val="18"/>
                <w:szCs w:val="18"/>
              </w:rPr>
            </w:pPr>
            <w:r w:rsidRPr="00403C08">
              <w:rPr>
                <w:b/>
                <w:bCs/>
                <w:color w:val="000000"/>
                <w:sz w:val="18"/>
                <w:szCs w:val="18"/>
              </w:rPr>
              <w:t>£</w:t>
            </w:r>
            <w:r w:rsidR="000E647D">
              <w:rPr>
                <w:b/>
                <w:bCs/>
                <w:color w:val="000000"/>
                <w:sz w:val="18"/>
                <w:szCs w:val="18"/>
              </w:rPr>
              <w:t xml:space="preserve"> </w:t>
            </w:r>
            <w:r w:rsidR="00D52373">
              <w:rPr>
                <w:b/>
                <w:bCs/>
                <w:color w:val="000000"/>
                <w:sz w:val="18"/>
                <w:szCs w:val="18"/>
              </w:rPr>
              <w:t>865,007</w:t>
            </w:r>
            <w:r w:rsidR="00DB058A">
              <w:rPr>
                <w:b/>
                <w:bCs/>
                <w:color w:val="000000"/>
                <w:sz w:val="18"/>
                <w:szCs w:val="18"/>
              </w:rPr>
              <w:t>.25</w:t>
            </w:r>
          </w:p>
        </w:tc>
      </w:tr>
    </w:tbl>
    <w:p w14:paraId="63810AF0" w14:textId="53D6E3A0" w:rsidR="00CD3D38" w:rsidRDefault="00CD3D38">
      <w:pPr>
        <w:rPr>
          <w:b/>
          <w:bCs/>
        </w:rPr>
      </w:pPr>
    </w:p>
    <w:p w14:paraId="2F285445" w14:textId="66727BAC" w:rsidR="00395DD4" w:rsidRPr="00B2710F" w:rsidRDefault="00395DD4"/>
    <w:p w14:paraId="5869E2D2" w14:textId="77777777" w:rsidR="00CB0ACD" w:rsidRDefault="00CB0ACD" w:rsidP="00CB0ACD">
      <w:pPr>
        <w:ind w:firstLine="720"/>
        <w:jc w:val="both"/>
        <w:rPr>
          <w:rFonts w:eastAsia="Arial"/>
          <w:szCs w:val="24"/>
          <w:u w:val="single"/>
        </w:rPr>
      </w:pPr>
    </w:p>
    <w:p w14:paraId="24253977" w14:textId="46610E86" w:rsidR="003F391E" w:rsidRDefault="00DD553D" w:rsidP="008D6E6A">
      <w:pPr>
        <w:jc w:val="both"/>
      </w:pPr>
      <w:r>
        <w:t xml:space="preserve">It is forecast that the above approach will </w:t>
      </w:r>
      <w:r w:rsidR="000A019C">
        <w:t xml:space="preserve">exceed the 50% funding reserved for households with children.  </w:t>
      </w:r>
      <w:r w:rsidR="006A646C">
        <w:t>In addition, households in the borough both with and without children can apply for</w:t>
      </w:r>
      <w:r>
        <w:t xml:space="preserve"> </w:t>
      </w:r>
      <w:r w:rsidR="00FF42B8">
        <w:t>support</w:t>
      </w:r>
      <w:r w:rsidR="00ED2D85">
        <w:t xml:space="preserve"> funded by £</w:t>
      </w:r>
      <w:r w:rsidR="00F7010F">
        <w:t>352,100</w:t>
      </w:r>
      <w:r w:rsidR="00ED2D85">
        <w:t xml:space="preserve"> either from the Community Hub or the Emergency Support Scheme</w:t>
      </w:r>
      <w:r w:rsidR="00276EEE">
        <w:t>.</w:t>
      </w:r>
    </w:p>
    <w:p w14:paraId="232088D8" w14:textId="322E81E3" w:rsidR="00CB0ACD" w:rsidRDefault="00CB0ACD">
      <w:pPr>
        <w:rPr>
          <w:b/>
          <w:bCs/>
        </w:rPr>
      </w:pPr>
    </w:p>
    <w:p w14:paraId="3D39BCE1" w14:textId="184A9006" w:rsidR="00CB0ACD" w:rsidRPr="00C7790E" w:rsidRDefault="00946C40">
      <w:pPr>
        <w:rPr>
          <w:b/>
          <w:bCs/>
        </w:rPr>
      </w:pPr>
      <w:r w:rsidRPr="00C7790E">
        <w:rPr>
          <w:b/>
          <w:bCs/>
        </w:rPr>
        <w:t>Funding for households without children</w:t>
      </w:r>
    </w:p>
    <w:p w14:paraId="7F83E5E8" w14:textId="0217EA2C" w:rsidR="00946C40" w:rsidRDefault="00946C40">
      <w:pPr>
        <w:rPr>
          <w:b/>
          <w:bCs/>
        </w:rPr>
      </w:pPr>
    </w:p>
    <w:tbl>
      <w:tblPr>
        <w:tblStyle w:val="TableGrid"/>
        <w:tblW w:w="5000" w:type="pct"/>
        <w:tblLayout w:type="fixed"/>
        <w:tblLook w:val="04A0" w:firstRow="1" w:lastRow="0" w:firstColumn="1" w:lastColumn="0" w:noHBand="0" w:noVBand="1"/>
      </w:tblPr>
      <w:tblGrid>
        <w:gridCol w:w="5157"/>
        <w:gridCol w:w="1219"/>
        <w:gridCol w:w="1322"/>
        <w:gridCol w:w="1318"/>
      </w:tblGrid>
      <w:tr w:rsidR="00587389" w:rsidRPr="009C7A11" w14:paraId="27F63BCB" w14:textId="77777777" w:rsidTr="00D05C59">
        <w:tc>
          <w:tcPr>
            <w:tcW w:w="2860" w:type="pct"/>
            <w:shd w:val="clear" w:color="auto" w:fill="D9D9D9" w:themeFill="background1" w:themeFillShade="D9"/>
            <w:vAlign w:val="center"/>
          </w:tcPr>
          <w:p w14:paraId="552DE386" w14:textId="77777777" w:rsidR="00587389" w:rsidRPr="00403C08" w:rsidRDefault="00587389" w:rsidP="00D05C59">
            <w:pPr>
              <w:jc w:val="center"/>
              <w:rPr>
                <w:sz w:val="18"/>
                <w:szCs w:val="18"/>
              </w:rPr>
            </w:pPr>
            <w:r w:rsidRPr="00403C08">
              <w:rPr>
                <w:b/>
                <w:bCs/>
                <w:color w:val="000000"/>
                <w:sz w:val="18"/>
                <w:szCs w:val="18"/>
              </w:rPr>
              <w:t>Category</w:t>
            </w:r>
          </w:p>
        </w:tc>
        <w:tc>
          <w:tcPr>
            <w:tcW w:w="676" w:type="pct"/>
            <w:shd w:val="clear" w:color="auto" w:fill="000000" w:themeFill="text1"/>
            <w:vAlign w:val="center"/>
          </w:tcPr>
          <w:p w14:paraId="5C7E81C4" w14:textId="77777777" w:rsidR="00587389" w:rsidRPr="00403C08" w:rsidRDefault="00587389" w:rsidP="00D05C59">
            <w:pPr>
              <w:jc w:val="center"/>
              <w:rPr>
                <w:sz w:val="18"/>
                <w:szCs w:val="18"/>
              </w:rPr>
            </w:pPr>
          </w:p>
        </w:tc>
        <w:tc>
          <w:tcPr>
            <w:tcW w:w="733" w:type="pct"/>
            <w:shd w:val="clear" w:color="auto" w:fill="000000" w:themeFill="text1"/>
            <w:vAlign w:val="center"/>
          </w:tcPr>
          <w:p w14:paraId="7C45203B" w14:textId="77777777" w:rsidR="00587389" w:rsidRPr="00403C08" w:rsidRDefault="00587389" w:rsidP="00D05C59">
            <w:pPr>
              <w:jc w:val="center"/>
              <w:rPr>
                <w:sz w:val="18"/>
                <w:szCs w:val="18"/>
              </w:rPr>
            </w:pPr>
          </w:p>
        </w:tc>
        <w:tc>
          <w:tcPr>
            <w:tcW w:w="731" w:type="pct"/>
            <w:shd w:val="clear" w:color="auto" w:fill="000000" w:themeFill="text1"/>
            <w:vAlign w:val="center"/>
          </w:tcPr>
          <w:p w14:paraId="02F26415" w14:textId="77777777" w:rsidR="00587389" w:rsidRPr="00403C08" w:rsidRDefault="00587389" w:rsidP="00D05C59">
            <w:pPr>
              <w:jc w:val="center"/>
              <w:rPr>
                <w:sz w:val="18"/>
                <w:szCs w:val="18"/>
              </w:rPr>
            </w:pPr>
          </w:p>
        </w:tc>
      </w:tr>
      <w:tr w:rsidR="00587389" w:rsidRPr="009C7A11" w:rsidDel="00770961" w14:paraId="48DFDC11" w14:textId="77777777" w:rsidTr="00D05C59">
        <w:tc>
          <w:tcPr>
            <w:tcW w:w="2860" w:type="pct"/>
            <w:vAlign w:val="center"/>
          </w:tcPr>
          <w:p w14:paraId="03F5783B" w14:textId="77777777" w:rsidR="00587389" w:rsidRPr="00403C08" w:rsidDel="00770961" w:rsidRDefault="00587389" w:rsidP="00D05C59">
            <w:pPr>
              <w:rPr>
                <w:b/>
                <w:bCs/>
                <w:color w:val="000000"/>
                <w:sz w:val="18"/>
                <w:szCs w:val="18"/>
              </w:rPr>
            </w:pPr>
          </w:p>
        </w:tc>
        <w:tc>
          <w:tcPr>
            <w:tcW w:w="676" w:type="pct"/>
            <w:vAlign w:val="center"/>
          </w:tcPr>
          <w:p w14:paraId="7B12327E" w14:textId="77777777" w:rsidR="00587389" w:rsidRPr="00403C08" w:rsidDel="00770961" w:rsidRDefault="00587389" w:rsidP="00D05C59">
            <w:pPr>
              <w:jc w:val="center"/>
              <w:rPr>
                <w:color w:val="000000"/>
                <w:sz w:val="18"/>
                <w:szCs w:val="18"/>
              </w:rPr>
            </w:pPr>
            <w:r w:rsidRPr="00403C08">
              <w:rPr>
                <w:b/>
                <w:bCs/>
                <w:sz w:val="18"/>
                <w:szCs w:val="18"/>
              </w:rPr>
              <w:t>Estimated No of Households</w:t>
            </w:r>
          </w:p>
        </w:tc>
        <w:tc>
          <w:tcPr>
            <w:tcW w:w="733" w:type="pct"/>
            <w:vAlign w:val="center"/>
          </w:tcPr>
          <w:p w14:paraId="0427FB6C" w14:textId="77777777" w:rsidR="00587389" w:rsidRPr="00403C08" w:rsidDel="00770961" w:rsidRDefault="00587389" w:rsidP="00D05C59">
            <w:pPr>
              <w:jc w:val="center"/>
              <w:rPr>
                <w:color w:val="000000"/>
                <w:sz w:val="18"/>
                <w:szCs w:val="18"/>
              </w:rPr>
            </w:pPr>
            <w:r w:rsidRPr="00403C08">
              <w:rPr>
                <w:b/>
                <w:bCs/>
                <w:color w:val="000000"/>
                <w:sz w:val="18"/>
                <w:szCs w:val="18"/>
              </w:rPr>
              <w:t>Proposed Funding per Household</w:t>
            </w:r>
          </w:p>
        </w:tc>
        <w:tc>
          <w:tcPr>
            <w:tcW w:w="731" w:type="pct"/>
            <w:vAlign w:val="center"/>
          </w:tcPr>
          <w:p w14:paraId="0CE5043A" w14:textId="77777777" w:rsidR="00587389" w:rsidRPr="00403C08" w:rsidDel="00770961" w:rsidRDefault="00587389" w:rsidP="00D05C59">
            <w:pPr>
              <w:jc w:val="center"/>
              <w:rPr>
                <w:color w:val="000000"/>
                <w:sz w:val="18"/>
                <w:szCs w:val="18"/>
              </w:rPr>
            </w:pPr>
            <w:r w:rsidRPr="00403C08">
              <w:rPr>
                <w:b/>
                <w:bCs/>
                <w:sz w:val="18"/>
                <w:szCs w:val="18"/>
              </w:rPr>
              <w:t>Provisional Allocation of Funding (£)</w:t>
            </w:r>
          </w:p>
        </w:tc>
      </w:tr>
      <w:tr w:rsidR="00587389" w:rsidRPr="009C7A11" w:rsidDel="00770961" w14:paraId="3D8C8738" w14:textId="77777777" w:rsidTr="00D05C59">
        <w:tc>
          <w:tcPr>
            <w:tcW w:w="2860" w:type="pct"/>
            <w:vAlign w:val="center"/>
          </w:tcPr>
          <w:p w14:paraId="4F0A5E74" w14:textId="6BCF7C56" w:rsidR="00587389" w:rsidRPr="00403C08" w:rsidDel="00770961" w:rsidRDefault="000B088C" w:rsidP="00D05C59">
            <w:pPr>
              <w:rPr>
                <w:b/>
                <w:bCs/>
                <w:color w:val="000000"/>
                <w:sz w:val="18"/>
                <w:szCs w:val="18"/>
              </w:rPr>
            </w:pPr>
            <w:r>
              <w:rPr>
                <w:b/>
                <w:bCs/>
                <w:color w:val="000000"/>
                <w:sz w:val="18"/>
                <w:szCs w:val="18"/>
              </w:rPr>
              <w:t>Working Age h</w:t>
            </w:r>
            <w:r w:rsidR="00587389">
              <w:rPr>
                <w:b/>
                <w:bCs/>
                <w:color w:val="000000"/>
                <w:sz w:val="18"/>
                <w:szCs w:val="18"/>
              </w:rPr>
              <w:t>ouseholds without children in receipt of Council Tax Support – one off payment</w:t>
            </w:r>
          </w:p>
        </w:tc>
        <w:tc>
          <w:tcPr>
            <w:tcW w:w="676" w:type="pct"/>
            <w:vAlign w:val="center"/>
          </w:tcPr>
          <w:p w14:paraId="5BD65FA8" w14:textId="7E6A6C38" w:rsidR="00587389" w:rsidRPr="00403C08" w:rsidDel="00770961" w:rsidRDefault="00A20FC5" w:rsidP="00D05C59">
            <w:pPr>
              <w:jc w:val="center"/>
              <w:rPr>
                <w:color w:val="000000"/>
                <w:sz w:val="18"/>
                <w:szCs w:val="18"/>
              </w:rPr>
            </w:pPr>
            <w:r>
              <w:rPr>
                <w:color w:val="000000"/>
                <w:sz w:val="18"/>
                <w:szCs w:val="18"/>
              </w:rPr>
              <w:t>3631</w:t>
            </w:r>
          </w:p>
        </w:tc>
        <w:tc>
          <w:tcPr>
            <w:tcW w:w="733" w:type="pct"/>
            <w:vAlign w:val="center"/>
          </w:tcPr>
          <w:p w14:paraId="4A208FDD" w14:textId="77777777" w:rsidR="00587389" w:rsidRPr="00403C08" w:rsidDel="00770961" w:rsidRDefault="00587389" w:rsidP="00D05C59">
            <w:pPr>
              <w:jc w:val="center"/>
              <w:rPr>
                <w:color w:val="000000"/>
                <w:sz w:val="18"/>
                <w:szCs w:val="18"/>
              </w:rPr>
            </w:pPr>
            <w:r>
              <w:rPr>
                <w:color w:val="000000"/>
                <w:sz w:val="18"/>
                <w:szCs w:val="18"/>
              </w:rPr>
              <w:t>£40 + postage</w:t>
            </w:r>
          </w:p>
        </w:tc>
        <w:tc>
          <w:tcPr>
            <w:tcW w:w="731" w:type="pct"/>
            <w:vAlign w:val="center"/>
          </w:tcPr>
          <w:p w14:paraId="5E3BF756" w14:textId="06652AF3" w:rsidR="00587389" w:rsidRPr="00403C08" w:rsidDel="00770961" w:rsidRDefault="00587389" w:rsidP="00D05C59">
            <w:pPr>
              <w:jc w:val="center"/>
              <w:rPr>
                <w:color w:val="000000"/>
                <w:sz w:val="18"/>
                <w:szCs w:val="18"/>
              </w:rPr>
            </w:pPr>
            <w:r>
              <w:rPr>
                <w:color w:val="000000"/>
                <w:sz w:val="18"/>
                <w:szCs w:val="18"/>
              </w:rPr>
              <w:t>£</w:t>
            </w:r>
            <w:r w:rsidR="006E55BC">
              <w:rPr>
                <w:color w:val="000000"/>
                <w:sz w:val="18"/>
                <w:szCs w:val="18"/>
              </w:rPr>
              <w:t>147,600.15</w:t>
            </w:r>
          </w:p>
        </w:tc>
      </w:tr>
    </w:tbl>
    <w:p w14:paraId="1591BBA9" w14:textId="77777777" w:rsidR="00587389" w:rsidRDefault="00587389" w:rsidP="00C7790E">
      <w:pPr>
        <w:jc w:val="both"/>
      </w:pPr>
    </w:p>
    <w:p w14:paraId="53C159D3" w14:textId="116FC6AF" w:rsidR="00235E41" w:rsidRPr="00B2710F" w:rsidRDefault="00235E41" w:rsidP="008077D9">
      <w:r>
        <w:t xml:space="preserve">Awards to households with or without children </w:t>
      </w:r>
      <w:r w:rsidR="00FC39AF">
        <w:t xml:space="preserve">either in lieu of free school meals during school holidays, to Council Tax Support households and to households with children in emergency accommodation in receipt of Housing Benefits will be made in the form of a voucher.  </w:t>
      </w:r>
      <w:r w:rsidR="00036584">
        <w:t xml:space="preserve">Vouchers can be redeemed at supermarkets, assisting the household with </w:t>
      </w:r>
      <w:r w:rsidR="001002A0">
        <w:t>the cost of food.  It is anticipated that this approach will either help ease the financial pressure of purchasing food directly, or free up funds within the household t</w:t>
      </w:r>
      <w:r w:rsidR="00180737">
        <w:t>hat would otherwise have been spent on food to use on other essential items such as gas, electric or water costs.</w:t>
      </w:r>
    </w:p>
    <w:p w14:paraId="7E6437E1" w14:textId="77777777" w:rsidR="00235E41" w:rsidRPr="00B2710F" w:rsidRDefault="00235E41" w:rsidP="008077D9"/>
    <w:p w14:paraId="2C167F4D" w14:textId="77777777" w:rsidR="00235E41" w:rsidRDefault="00235E41" w:rsidP="008077D9">
      <w:pPr>
        <w:rPr>
          <w:b/>
          <w:bCs/>
        </w:rPr>
      </w:pPr>
    </w:p>
    <w:p w14:paraId="176A074A" w14:textId="65C0AF6B" w:rsidR="008077D9" w:rsidRPr="00C7790E" w:rsidRDefault="008077D9" w:rsidP="008077D9">
      <w:pPr>
        <w:rPr>
          <w:b/>
          <w:bCs/>
        </w:rPr>
      </w:pPr>
      <w:r w:rsidRPr="00C7790E">
        <w:rPr>
          <w:b/>
          <w:bCs/>
        </w:rPr>
        <w:t>Funding for households with</w:t>
      </w:r>
      <w:r>
        <w:rPr>
          <w:b/>
          <w:bCs/>
        </w:rPr>
        <w:t xml:space="preserve"> and with</w:t>
      </w:r>
      <w:r w:rsidRPr="00C7790E">
        <w:rPr>
          <w:b/>
          <w:bCs/>
        </w:rPr>
        <w:t>out children</w:t>
      </w:r>
    </w:p>
    <w:p w14:paraId="2868BD2B" w14:textId="0761965A" w:rsidR="00587389" w:rsidRDefault="00587389" w:rsidP="00C7790E">
      <w:pPr>
        <w:jc w:val="both"/>
      </w:pPr>
    </w:p>
    <w:p w14:paraId="45D1A9C0" w14:textId="2B999E27" w:rsidR="008077D9" w:rsidRPr="00B2710F" w:rsidRDefault="002B5425" w:rsidP="00C7790E">
      <w:pPr>
        <w:jc w:val="both"/>
        <w:rPr>
          <w:u w:val="single"/>
        </w:rPr>
      </w:pPr>
      <w:r w:rsidRPr="00B2710F">
        <w:rPr>
          <w:u w:val="single"/>
        </w:rPr>
        <w:t>Community Hub</w:t>
      </w:r>
    </w:p>
    <w:p w14:paraId="3F550CD8" w14:textId="3CDA89AB" w:rsidR="002B5425" w:rsidRDefault="002B5425" w:rsidP="00C7790E">
      <w:pPr>
        <w:jc w:val="both"/>
      </w:pPr>
    </w:p>
    <w:p w14:paraId="26E03EBD" w14:textId="373034D9" w:rsidR="002B5425" w:rsidRDefault="002B5425" w:rsidP="00C7790E">
      <w:pPr>
        <w:jc w:val="both"/>
      </w:pPr>
      <w:r>
        <w:t xml:space="preserve">£60k of funding will be allocated to the Community Hub to support provision of food parcels to Harrow residents.  Households can self-refer by registering with the service </w:t>
      </w:r>
      <w:r w:rsidR="00A3117C">
        <w:t xml:space="preserve">to access support.  </w:t>
      </w:r>
      <w:r w:rsidR="009D5294">
        <w:t xml:space="preserve">Residents who have received </w:t>
      </w:r>
      <w:r w:rsidR="003879E7">
        <w:t xml:space="preserve">assistance through other elements of the scheme are not restricted from receiving support from the Community Hub.  The number of awards </w:t>
      </w:r>
      <w:proofErr w:type="gramStart"/>
      <w:r w:rsidR="003879E7">
        <w:t>are</w:t>
      </w:r>
      <w:proofErr w:type="gramEnd"/>
      <w:r w:rsidR="003879E7">
        <w:t xml:space="preserve"> not limited so the service can provide </w:t>
      </w:r>
      <w:r w:rsidR="00646F12">
        <w:t xml:space="preserve">assistance over a longer period of time where required, and therefore not only assisting with urgent needs for food but also </w:t>
      </w:r>
      <w:r w:rsidR="00C85554">
        <w:t>freeing up household funds to cover essentials other than food.</w:t>
      </w:r>
    </w:p>
    <w:p w14:paraId="3C583944" w14:textId="1F99B355" w:rsidR="000E5233" w:rsidRDefault="000E5233" w:rsidP="00C7790E">
      <w:pPr>
        <w:jc w:val="both"/>
      </w:pPr>
    </w:p>
    <w:p w14:paraId="66817E3F" w14:textId="1A33BB2C" w:rsidR="000E5233" w:rsidRDefault="000E5233" w:rsidP="00C7790E">
      <w:pPr>
        <w:jc w:val="both"/>
        <w:rPr>
          <w:u w:val="single"/>
        </w:rPr>
      </w:pPr>
      <w:r>
        <w:rPr>
          <w:u w:val="single"/>
        </w:rPr>
        <w:t>Emergency Support Scheme</w:t>
      </w:r>
    </w:p>
    <w:p w14:paraId="4DA052E3" w14:textId="1A98A862" w:rsidR="000E5233" w:rsidRDefault="000E5233" w:rsidP="00C7790E">
      <w:pPr>
        <w:jc w:val="both"/>
      </w:pPr>
    </w:p>
    <w:p w14:paraId="7355B338" w14:textId="51E36D22" w:rsidR="0060116C" w:rsidRDefault="005F089C" w:rsidP="00C7790E">
      <w:pPr>
        <w:jc w:val="both"/>
      </w:pPr>
      <w:r>
        <w:t xml:space="preserve">Funding of </w:t>
      </w:r>
      <w:r w:rsidR="000E5233">
        <w:t>£</w:t>
      </w:r>
      <w:r w:rsidR="001A1A60">
        <w:t>271,7</w:t>
      </w:r>
      <w:r w:rsidR="00BC5D44">
        <w:t>00</w:t>
      </w:r>
      <w:r>
        <w:t xml:space="preserve"> will be allocated to an Emergency Support Scheme which residents can apply to.  </w:t>
      </w:r>
      <w:r w:rsidR="0060116C">
        <w:t xml:space="preserve">Potential applicants will be triaged by Citizens Advice Harrow, and where appropriate an application form submitted with support from Citizens Advice for assessment by the Council.  </w:t>
      </w:r>
    </w:p>
    <w:p w14:paraId="7E3596C7" w14:textId="77777777" w:rsidR="0060116C" w:rsidRDefault="0060116C" w:rsidP="00C7790E">
      <w:pPr>
        <w:jc w:val="both"/>
      </w:pPr>
    </w:p>
    <w:p w14:paraId="004C6139" w14:textId="0DF7A8A4" w:rsidR="003D0279" w:rsidRDefault="0060116C" w:rsidP="00C7790E">
      <w:pPr>
        <w:jc w:val="both"/>
      </w:pPr>
      <w:r>
        <w:t xml:space="preserve">The scheme will potentially assist with any essential item set out in </w:t>
      </w:r>
      <w:r w:rsidR="001F0399">
        <w:t>Table 1.  Provision will be in kind</w:t>
      </w:r>
      <w:r w:rsidR="006247CA">
        <w:t xml:space="preserve">, </w:t>
      </w:r>
      <w:r w:rsidR="00F50FEA">
        <w:t xml:space="preserve">voucher, </w:t>
      </w:r>
      <w:r w:rsidR="001F191E">
        <w:t>payment card with or without ATM use</w:t>
      </w:r>
      <w:r w:rsidR="004C77E2">
        <w:t xml:space="preserve">, BACS payment or direct payment to third party </w:t>
      </w:r>
      <w:proofErr w:type="gramStart"/>
      <w:r w:rsidR="004C77E2">
        <w:t>e.g.</w:t>
      </w:r>
      <w:proofErr w:type="gramEnd"/>
      <w:r w:rsidR="004C77E2">
        <w:t xml:space="preserve"> landlord for rent arrears or energy fuel provider.</w:t>
      </w:r>
      <w:r w:rsidR="003D0279">
        <w:t xml:space="preserve"> </w:t>
      </w:r>
    </w:p>
    <w:p w14:paraId="710D64B5" w14:textId="29DD5862" w:rsidR="00A73FBE" w:rsidRDefault="00A73FBE" w:rsidP="00C7790E">
      <w:pPr>
        <w:jc w:val="both"/>
      </w:pPr>
    </w:p>
    <w:p w14:paraId="2B947F58" w14:textId="2D296EF0" w:rsidR="00A73FBE" w:rsidRDefault="00A73FBE" w:rsidP="00C7790E">
      <w:pPr>
        <w:jc w:val="both"/>
      </w:pPr>
      <w:r>
        <w:t>Awards will normally be limited to £100</w:t>
      </w:r>
      <w:r w:rsidR="000F3ABC">
        <w:t xml:space="preserve"> per household</w:t>
      </w:r>
      <w:r>
        <w:t xml:space="preserve"> for</w:t>
      </w:r>
      <w:r w:rsidR="000F3ABC">
        <w:t xml:space="preserve"> smaller items such as</w:t>
      </w:r>
      <w:r>
        <w:t xml:space="preserve"> food, energy fuel</w:t>
      </w:r>
      <w:r w:rsidR="000F3ABC">
        <w:t xml:space="preserve"> and clothing, and £500 for </w:t>
      </w:r>
      <w:r w:rsidR="00853A99">
        <w:t>furniture and white goods.</w:t>
      </w:r>
    </w:p>
    <w:p w14:paraId="14FF697F" w14:textId="77777777" w:rsidR="003D0279" w:rsidRDefault="003D0279" w:rsidP="00C7790E">
      <w:pPr>
        <w:jc w:val="both"/>
      </w:pPr>
    </w:p>
    <w:p w14:paraId="3708A75C" w14:textId="77777777" w:rsidR="00B94EF8" w:rsidRDefault="003D0279" w:rsidP="00C7790E">
      <w:pPr>
        <w:jc w:val="both"/>
      </w:pPr>
      <w:r>
        <w:t xml:space="preserve">Eligibility will be assessed by the household’s ability to fund the essential item based on their </w:t>
      </w:r>
      <w:r w:rsidR="00883F0B">
        <w:t xml:space="preserve">available income and capital.  </w:t>
      </w:r>
      <w:r w:rsidR="00061032">
        <w:t>Consideration will be given to whether the award will make a material difference to the household</w:t>
      </w:r>
      <w:r w:rsidR="00B94EF8">
        <w:t xml:space="preserve">, </w:t>
      </w:r>
      <w:proofErr w:type="gramStart"/>
      <w:r w:rsidR="00B94EF8">
        <w:t>e.g.</w:t>
      </w:r>
      <w:proofErr w:type="gramEnd"/>
      <w:r w:rsidR="00B94EF8">
        <w:t xml:space="preserve"> if gas arrears are cleared can the household afford to sustain payments in future.</w:t>
      </w:r>
    </w:p>
    <w:p w14:paraId="1B4B43A9" w14:textId="77777777" w:rsidR="00B94EF8" w:rsidRDefault="00B94EF8" w:rsidP="00C7790E">
      <w:pPr>
        <w:jc w:val="both"/>
      </w:pPr>
    </w:p>
    <w:p w14:paraId="18D5E69F" w14:textId="1CDEA378" w:rsidR="00C10ABD" w:rsidRDefault="00B94EF8" w:rsidP="00C7790E">
      <w:pPr>
        <w:jc w:val="both"/>
      </w:pPr>
      <w:r>
        <w:lastRenderedPageBreak/>
        <w:t>£</w:t>
      </w:r>
      <w:r w:rsidR="00BC5D44">
        <w:t>171,700</w:t>
      </w:r>
      <w:r>
        <w:t xml:space="preserve"> of the Emergency Support Scheme funding is </w:t>
      </w:r>
      <w:r w:rsidR="00D74E8B">
        <w:t xml:space="preserve">allocated to rent arrears.  Support with rent arrears is only </w:t>
      </w:r>
      <w:r w:rsidR="00077389">
        <w:t>eligible where no other provision is available including Housing Benefit, Universal Credit or Discretionary Housing P</w:t>
      </w:r>
      <w:r w:rsidR="002220D5">
        <w:t xml:space="preserve">ayments.  Rent arrears may be through application from the household via Citizens Advice, or through </w:t>
      </w:r>
      <w:r w:rsidR="00C10ABD">
        <w:t>proactive action by the Council’s Housing Department.</w:t>
      </w:r>
    </w:p>
    <w:p w14:paraId="69B144FC" w14:textId="26DE4933" w:rsidR="00C10ABD" w:rsidRDefault="00C10ABD" w:rsidP="00C7790E">
      <w:pPr>
        <w:jc w:val="both"/>
      </w:pPr>
    </w:p>
    <w:p w14:paraId="38AAF2BC" w14:textId="5FF42455" w:rsidR="00AA2424" w:rsidRDefault="00AA2424" w:rsidP="00C7790E">
      <w:pPr>
        <w:jc w:val="both"/>
      </w:pPr>
      <w:r>
        <w:t xml:space="preserve">Once funds have been exhausted no further awards will be made.  </w:t>
      </w:r>
    </w:p>
    <w:p w14:paraId="3422B176" w14:textId="31FEDAE1" w:rsidR="00AA2424" w:rsidRDefault="00AA2424" w:rsidP="00C7790E">
      <w:pPr>
        <w:jc w:val="both"/>
      </w:pPr>
    </w:p>
    <w:p w14:paraId="191FA981" w14:textId="01135860" w:rsidR="00AA2424" w:rsidRDefault="00AA2424" w:rsidP="00C7790E">
      <w:pPr>
        <w:jc w:val="both"/>
      </w:pPr>
      <w:r>
        <w:t xml:space="preserve">The funding allocations will be reviewed </w:t>
      </w:r>
      <w:proofErr w:type="gramStart"/>
      <w:r w:rsidR="002377C9">
        <w:t>on a monthly basis</w:t>
      </w:r>
      <w:proofErr w:type="gramEnd"/>
      <w:r w:rsidR="002377C9">
        <w:t xml:space="preserve"> and adjusted to prioritise awards for free school meals, </w:t>
      </w:r>
      <w:r w:rsidR="00342F9E">
        <w:t>to households with children in emergency accommodation on Housing Benefit and Council Tax Support households.</w:t>
      </w:r>
    </w:p>
    <w:p w14:paraId="4DA8C3F3" w14:textId="77777777" w:rsidR="00AA2424" w:rsidRDefault="00AA2424" w:rsidP="00C7790E">
      <w:pPr>
        <w:jc w:val="both"/>
      </w:pPr>
    </w:p>
    <w:p w14:paraId="1CD153B0" w14:textId="77777777" w:rsidR="004A3C2A" w:rsidRDefault="004A3C2A" w:rsidP="00C7790E">
      <w:pPr>
        <w:jc w:val="both"/>
      </w:pPr>
      <w:r>
        <w:rPr>
          <w:u w:val="single"/>
        </w:rPr>
        <w:t>Reserve</w:t>
      </w:r>
    </w:p>
    <w:p w14:paraId="5FC42385" w14:textId="77777777" w:rsidR="004A3C2A" w:rsidRDefault="004A3C2A" w:rsidP="00C7790E">
      <w:pPr>
        <w:jc w:val="both"/>
      </w:pPr>
    </w:p>
    <w:p w14:paraId="6D8069E0" w14:textId="2431FE93" w:rsidR="000E5233" w:rsidRPr="000E5233" w:rsidRDefault="004A3C2A" w:rsidP="00C7790E">
      <w:pPr>
        <w:jc w:val="both"/>
      </w:pPr>
      <w:r>
        <w:t>£32,399.78 will be held in reserve to top up any of the funding pots should demand be higher than forecast.  Any potential underspend will be allocated to</w:t>
      </w:r>
      <w:r w:rsidR="00BD54C8">
        <w:t xml:space="preserve"> free school meals for the Easter payment</w:t>
      </w:r>
      <w:r w:rsidR="006C4305">
        <w:t xml:space="preserve"> in advance of the 31 March 2022 grant deadline.</w:t>
      </w:r>
    </w:p>
    <w:p w14:paraId="6F1988E8" w14:textId="77777777" w:rsidR="002B5425" w:rsidRDefault="002B5425" w:rsidP="00C7790E">
      <w:pPr>
        <w:jc w:val="both"/>
      </w:pPr>
    </w:p>
    <w:p w14:paraId="55E28E53" w14:textId="6F7AE16A" w:rsidR="00AA6B22" w:rsidRDefault="00AA6B22" w:rsidP="00E96C44">
      <w:pPr>
        <w:jc w:val="both"/>
      </w:pPr>
    </w:p>
    <w:p w14:paraId="5826827D" w14:textId="3909825E" w:rsidR="00AA6B22" w:rsidRDefault="00AA6B22" w:rsidP="00E96C44">
      <w:pPr>
        <w:jc w:val="both"/>
      </w:pPr>
      <w:r>
        <w:rPr>
          <w:b/>
          <w:bCs/>
        </w:rPr>
        <w:t xml:space="preserve">Non-eligible </w:t>
      </w:r>
      <w:r w:rsidR="004853DD">
        <w:rPr>
          <w:b/>
          <w:bCs/>
        </w:rPr>
        <w:t>spend</w:t>
      </w:r>
    </w:p>
    <w:p w14:paraId="3CDB292A" w14:textId="3EC70201" w:rsidR="004853DD" w:rsidRDefault="004853DD" w:rsidP="00E96C44">
      <w:pPr>
        <w:jc w:val="both"/>
      </w:pPr>
    </w:p>
    <w:p w14:paraId="73A4C0B8" w14:textId="264A194C" w:rsidR="004853DD" w:rsidRDefault="004853DD" w:rsidP="00E96C44">
      <w:pPr>
        <w:jc w:val="both"/>
      </w:pPr>
      <w:r>
        <w:t>Eligible spend does not include the following:</w:t>
      </w:r>
    </w:p>
    <w:p w14:paraId="03B94D22" w14:textId="76D0C0A1" w:rsidR="004853DD" w:rsidRDefault="004853DD" w:rsidP="00E96C44">
      <w:pPr>
        <w:jc w:val="both"/>
      </w:pPr>
    </w:p>
    <w:p w14:paraId="417AD1EE" w14:textId="5BC2056A" w:rsidR="004853DD" w:rsidRDefault="004853DD" w:rsidP="004853DD">
      <w:pPr>
        <w:pStyle w:val="ListParagraph"/>
        <w:numPr>
          <w:ilvl w:val="0"/>
          <w:numId w:val="50"/>
        </w:numPr>
        <w:jc w:val="both"/>
      </w:pPr>
      <w:r>
        <w:t>Advice services such as debt advice</w:t>
      </w:r>
    </w:p>
    <w:p w14:paraId="3D569956" w14:textId="3576DDFA" w:rsidR="004853DD" w:rsidRPr="004853DD" w:rsidRDefault="004853DD" w:rsidP="004853DD">
      <w:pPr>
        <w:pStyle w:val="ListParagraph"/>
        <w:numPr>
          <w:ilvl w:val="0"/>
          <w:numId w:val="50"/>
        </w:numPr>
        <w:jc w:val="both"/>
      </w:pPr>
      <w:r>
        <w:t>Mortgage costs.</w:t>
      </w:r>
    </w:p>
    <w:p w14:paraId="45EEDF48" w14:textId="77777777" w:rsidR="00DC2CAC" w:rsidRDefault="00DC2CAC">
      <w:pPr>
        <w:rPr>
          <w:b/>
          <w:bCs/>
        </w:rPr>
      </w:pPr>
    </w:p>
    <w:p w14:paraId="0ACA1F18" w14:textId="38D0AE8B" w:rsidR="009654E0" w:rsidRDefault="009654E0">
      <w:pPr>
        <w:rPr>
          <w:b/>
          <w:bCs/>
        </w:rPr>
      </w:pPr>
      <w:r>
        <w:rPr>
          <w:b/>
          <w:bCs/>
        </w:rPr>
        <w:t xml:space="preserve">Backdating </w:t>
      </w:r>
    </w:p>
    <w:p w14:paraId="38C4CF95" w14:textId="715C4CBC" w:rsidR="009654E0" w:rsidRDefault="009654E0">
      <w:pPr>
        <w:rPr>
          <w:b/>
          <w:bCs/>
        </w:rPr>
      </w:pPr>
    </w:p>
    <w:p w14:paraId="1B0BF441" w14:textId="6BFA2411" w:rsidR="00B561A5" w:rsidRDefault="00844BD2">
      <w:r>
        <w:t xml:space="preserve">Applications will be accepted for funding that has already been occurred, subject to the application being made </w:t>
      </w:r>
      <w:r w:rsidR="00745564">
        <w:t xml:space="preserve">with 28 days of the commitment (56 days where the funding relates to a commitment from 6 to 31 October 2021).  </w:t>
      </w:r>
      <w:r w:rsidR="004B45D5">
        <w:t xml:space="preserve">The funding period must fall within the period 6 October 2021 to 31 March 2022.  </w:t>
      </w:r>
      <w:r w:rsidR="005176D6">
        <w:t xml:space="preserve">All applications must be received by </w:t>
      </w:r>
      <w:r w:rsidR="00D16389">
        <w:t>18 March 2022 to ensure awards are made prior to 31 March 2022.</w:t>
      </w:r>
    </w:p>
    <w:p w14:paraId="464E675E" w14:textId="77777777" w:rsidR="004B45D5" w:rsidRDefault="004B45D5">
      <w:pPr>
        <w:rPr>
          <w:b/>
          <w:bCs/>
        </w:rPr>
      </w:pPr>
    </w:p>
    <w:p w14:paraId="4AA849C6" w14:textId="27EB93E6" w:rsidR="009654E0" w:rsidRDefault="00293BD4">
      <w:pPr>
        <w:rPr>
          <w:b/>
          <w:bCs/>
        </w:rPr>
      </w:pPr>
      <w:r>
        <w:rPr>
          <w:b/>
          <w:bCs/>
        </w:rPr>
        <w:t xml:space="preserve">Multiple Claims </w:t>
      </w:r>
    </w:p>
    <w:p w14:paraId="13959E2C" w14:textId="40AAB441" w:rsidR="004B45D5" w:rsidRDefault="004B45D5">
      <w:pPr>
        <w:rPr>
          <w:b/>
          <w:bCs/>
        </w:rPr>
      </w:pPr>
    </w:p>
    <w:p w14:paraId="5A98755F" w14:textId="373AA5BE" w:rsidR="00D16389" w:rsidRPr="00B2710F" w:rsidRDefault="00070BB2">
      <w:r w:rsidRPr="00B2710F">
        <w:t>Households may receive awards from multiple elements of the Household Support Fund</w:t>
      </w:r>
      <w:r w:rsidR="007A2083" w:rsidRPr="00B2710F">
        <w:t xml:space="preserve">.  Repeat applications to the Emergency Support Scheme will consider how </w:t>
      </w:r>
      <w:r w:rsidR="00035DA4" w:rsidRPr="00B2710F">
        <w:t>any previous awards have been used by the household.</w:t>
      </w:r>
    </w:p>
    <w:p w14:paraId="2AF81691" w14:textId="0A8688ED" w:rsidR="00293BD4" w:rsidRPr="00B2710F" w:rsidRDefault="00293BD4">
      <w:pPr>
        <w:rPr>
          <w:b/>
          <w:bCs/>
        </w:rPr>
      </w:pPr>
    </w:p>
    <w:p w14:paraId="663FB42D" w14:textId="3D2B514F" w:rsidR="00293BD4" w:rsidRPr="00B2710F" w:rsidRDefault="00293BD4">
      <w:pPr>
        <w:rPr>
          <w:b/>
          <w:bCs/>
        </w:rPr>
      </w:pPr>
      <w:r w:rsidRPr="00B2710F">
        <w:rPr>
          <w:b/>
          <w:bCs/>
        </w:rPr>
        <w:t>Third-party applications</w:t>
      </w:r>
    </w:p>
    <w:p w14:paraId="41DB0C88" w14:textId="0B7C862A" w:rsidR="00F849E6" w:rsidRPr="00B2710F" w:rsidRDefault="00F849E6">
      <w:pPr>
        <w:rPr>
          <w:b/>
          <w:bCs/>
        </w:rPr>
      </w:pPr>
    </w:p>
    <w:p w14:paraId="4333BB0C" w14:textId="7C54F673" w:rsidR="00F849E6" w:rsidRPr="00B2710F" w:rsidRDefault="00F849E6">
      <w:r w:rsidRPr="00B2710F">
        <w:t xml:space="preserve">Applicants can apply on behalf of someone else, however the funding must be provided to </w:t>
      </w:r>
      <w:r w:rsidR="000C4253" w:rsidRPr="00B2710F">
        <w:t>a bank account in the name of the person for whom the application is being made.</w:t>
      </w:r>
      <w:r w:rsidR="00254014" w:rsidRPr="00B2710F">
        <w:t xml:space="preserve">  In exceptional circumstances awards will be made to third parties</w:t>
      </w:r>
      <w:r w:rsidR="00F14EBD" w:rsidRPr="00B2710F">
        <w:t xml:space="preserve"> if the award is </w:t>
      </w:r>
      <w:r w:rsidR="00BF52AB" w:rsidRPr="00B2710F">
        <w:t>made toward arrears of rent, energy fuel or water.</w:t>
      </w:r>
      <w:r w:rsidR="000C4253" w:rsidRPr="00B2710F">
        <w:t xml:space="preserve">  Funding can be provided to third party</w:t>
      </w:r>
      <w:r w:rsidR="00EE10FE" w:rsidRPr="00B2710F">
        <w:t xml:space="preserve"> organisations</w:t>
      </w:r>
      <w:r w:rsidR="000C4253" w:rsidRPr="00B2710F">
        <w:t xml:space="preserve"> to distribute</w:t>
      </w:r>
      <w:r w:rsidR="004538F7" w:rsidRPr="00B2710F">
        <w:t xml:space="preserve"> on the basis the </w:t>
      </w:r>
      <w:r w:rsidR="00EE10FE" w:rsidRPr="00B2710F">
        <w:t>organisation</w:t>
      </w:r>
      <w:r w:rsidR="004538F7" w:rsidRPr="00B2710F">
        <w:t xml:space="preserve"> administers the Grant in accordance with this policy and contracts to provide monitoring </w:t>
      </w:r>
      <w:r w:rsidR="00371735" w:rsidRPr="00B2710F">
        <w:t>information to the Council.</w:t>
      </w:r>
    </w:p>
    <w:p w14:paraId="5AC65B01" w14:textId="069E2469" w:rsidR="00EE10FE" w:rsidRPr="00B2710F" w:rsidRDefault="00EE10FE"/>
    <w:p w14:paraId="7BE78AF6" w14:textId="75DB7AFB" w:rsidR="00EE10FE" w:rsidRPr="00B2710F" w:rsidRDefault="00EE10FE">
      <w:r w:rsidRPr="00B2710F">
        <w:lastRenderedPageBreak/>
        <w:t xml:space="preserve">Third party organisations are limited to </w:t>
      </w:r>
      <w:r w:rsidR="0065619C" w:rsidRPr="00B2710F">
        <w:t>the following:</w:t>
      </w:r>
    </w:p>
    <w:p w14:paraId="0009EDAB" w14:textId="17EF5D9D" w:rsidR="0065619C" w:rsidRPr="00B2710F" w:rsidRDefault="0065619C"/>
    <w:p w14:paraId="54E7151F" w14:textId="2B16A179" w:rsidR="0065619C" w:rsidRPr="00B2710F" w:rsidRDefault="0065619C" w:rsidP="0065619C">
      <w:pPr>
        <w:pStyle w:val="ListParagraph"/>
        <w:numPr>
          <w:ilvl w:val="0"/>
          <w:numId w:val="50"/>
        </w:numPr>
      </w:pPr>
      <w:r w:rsidRPr="00B2710F">
        <w:t>Registered charities and voluntary organisations</w:t>
      </w:r>
    </w:p>
    <w:p w14:paraId="1E3D5728" w14:textId="489CD17F" w:rsidR="0065619C" w:rsidRPr="00B2710F" w:rsidRDefault="0065619C" w:rsidP="0065619C">
      <w:pPr>
        <w:pStyle w:val="ListParagraph"/>
        <w:numPr>
          <w:ilvl w:val="0"/>
          <w:numId w:val="50"/>
        </w:numPr>
      </w:pPr>
      <w:r w:rsidRPr="00B2710F">
        <w:t>Schools</w:t>
      </w:r>
    </w:p>
    <w:p w14:paraId="431DCED3" w14:textId="7761E1FC" w:rsidR="0065619C" w:rsidRPr="00B2710F" w:rsidRDefault="0065619C" w:rsidP="0065619C">
      <w:pPr>
        <w:pStyle w:val="ListParagraph"/>
        <w:numPr>
          <w:ilvl w:val="0"/>
          <w:numId w:val="50"/>
        </w:numPr>
      </w:pPr>
      <w:r w:rsidRPr="00B2710F">
        <w:t xml:space="preserve">Food banks </w:t>
      </w:r>
    </w:p>
    <w:p w14:paraId="0127693A" w14:textId="17BAB23D" w:rsidR="0065619C" w:rsidRPr="00B2710F" w:rsidRDefault="0065619C" w:rsidP="0065619C">
      <w:pPr>
        <w:pStyle w:val="ListParagraph"/>
        <w:numPr>
          <w:ilvl w:val="0"/>
          <w:numId w:val="50"/>
        </w:numPr>
      </w:pPr>
      <w:r w:rsidRPr="00B2710F">
        <w:t>General Practitioners</w:t>
      </w:r>
    </w:p>
    <w:p w14:paraId="70547F76" w14:textId="12EE50FD" w:rsidR="0065619C" w:rsidRPr="00B2710F" w:rsidRDefault="0065619C" w:rsidP="0065619C">
      <w:pPr>
        <w:pStyle w:val="ListParagraph"/>
        <w:numPr>
          <w:ilvl w:val="0"/>
          <w:numId w:val="50"/>
        </w:numPr>
      </w:pPr>
      <w:r w:rsidRPr="00B2710F">
        <w:t>Care organisations</w:t>
      </w:r>
    </w:p>
    <w:p w14:paraId="0867A917" w14:textId="0BCE9087" w:rsidR="00293BD4" w:rsidRPr="00B2710F" w:rsidRDefault="00293BD4">
      <w:pPr>
        <w:rPr>
          <w:b/>
          <w:bCs/>
        </w:rPr>
      </w:pPr>
    </w:p>
    <w:p w14:paraId="0E8B553A" w14:textId="6401AB82" w:rsidR="00293BD4" w:rsidRPr="00B2710F" w:rsidRDefault="00293BD4">
      <w:pPr>
        <w:rPr>
          <w:b/>
          <w:bCs/>
        </w:rPr>
      </w:pPr>
      <w:r w:rsidRPr="00B2710F">
        <w:rPr>
          <w:b/>
          <w:bCs/>
        </w:rPr>
        <w:t>Application Process</w:t>
      </w:r>
    </w:p>
    <w:p w14:paraId="2F1D8AB2" w14:textId="1B5E9ACB" w:rsidR="00371735" w:rsidRPr="00B2710F" w:rsidRDefault="00371735">
      <w:pPr>
        <w:rPr>
          <w:b/>
          <w:bCs/>
        </w:rPr>
      </w:pPr>
    </w:p>
    <w:p w14:paraId="17652634" w14:textId="4DE3E337" w:rsidR="00371735" w:rsidRPr="00B2710F" w:rsidRDefault="005313CD">
      <w:r w:rsidRPr="00B2710F">
        <w:t xml:space="preserve">Applications for </w:t>
      </w:r>
      <w:r w:rsidR="00AD33EB" w:rsidRPr="00B2710F">
        <w:t xml:space="preserve">Emergency Support will be made through CAB.  </w:t>
      </w:r>
    </w:p>
    <w:p w14:paraId="1DCC2BBA" w14:textId="3CB63006" w:rsidR="00293BD4" w:rsidRPr="00B2710F" w:rsidRDefault="00293BD4">
      <w:pPr>
        <w:rPr>
          <w:b/>
          <w:bCs/>
        </w:rPr>
      </w:pPr>
    </w:p>
    <w:p w14:paraId="345D2B86" w14:textId="0FFF3210" w:rsidR="00293BD4" w:rsidRPr="00B2710F" w:rsidRDefault="00293BD4">
      <w:pPr>
        <w:rPr>
          <w:b/>
          <w:bCs/>
        </w:rPr>
      </w:pPr>
      <w:r w:rsidRPr="00B2710F">
        <w:rPr>
          <w:b/>
          <w:bCs/>
        </w:rPr>
        <w:t>Determination of applications</w:t>
      </w:r>
    </w:p>
    <w:p w14:paraId="4C30508D" w14:textId="748F08A9" w:rsidR="00371735" w:rsidRPr="00B2710F" w:rsidRDefault="00371735">
      <w:pPr>
        <w:rPr>
          <w:b/>
          <w:bCs/>
        </w:rPr>
      </w:pPr>
    </w:p>
    <w:p w14:paraId="2E4C3AA0" w14:textId="3B0FAB3A" w:rsidR="00371735" w:rsidRPr="00B2710F" w:rsidRDefault="00371735">
      <w:r w:rsidRPr="00B2710F">
        <w:t xml:space="preserve">Applications </w:t>
      </w:r>
      <w:r w:rsidR="007A5114" w:rsidRPr="00B2710F">
        <w:t xml:space="preserve">to the Emergency Support Scheme </w:t>
      </w:r>
      <w:r w:rsidRPr="00B2710F">
        <w:t xml:space="preserve">will be administered by the </w:t>
      </w:r>
      <w:r w:rsidR="007A5114" w:rsidRPr="00B2710F">
        <w:t xml:space="preserve">Benefits Service upon receipt from Citizens Advice </w:t>
      </w:r>
      <w:proofErr w:type="gramStart"/>
      <w:r w:rsidR="007A5114" w:rsidRPr="00B2710F">
        <w:t>Harrow</w:t>
      </w:r>
      <w:r w:rsidR="005D25FC" w:rsidRPr="00B2710F">
        <w:t>.</w:t>
      </w:r>
      <w:r w:rsidR="00E11C4E" w:rsidRPr="00B2710F">
        <w:t>.</w:t>
      </w:r>
      <w:proofErr w:type="gramEnd"/>
      <w:r w:rsidR="005D25FC" w:rsidRPr="00B2710F">
        <w:t xml:space="preserve">  The Housing Department will administer applications for assistance with rent arrears.</w:t>
      </w:r>
      <w:r w:rsidR="00E11C4E" w:rsidRPr="00B2710F">
        <w:t xml:space="preserve">  </w:t>
      </w:r>
      <w:r w:rsidR="005D25FC" w:rsidRPr="00B2710F">
        <w:t xml:space="preserve">Awards will be approved </w:t>
      </w:r>
      <w:r w:rsidR="000211C3" w:rsidRPr="00B2710F">
        <w:t xml:space="preserve">and made </w:t>
      </w:r>
      <w:r w:rsidR="005D25FC" w:rsidRPr="00B2710F">
        <w:t xml:space="preserve">by </w:t>
      </w:r>
      <w:r w:rsidR="000211C3" w:rsidRPr="00B2710F">
        <w:t xml:space="preserve">a Senior Assessor at G7 grade or above who has not been involved in the </w:t>
      </w:r>
      <w:proofErr w:type="gramStart"/>
      <w:r w:rsidR="000211C3" w:rsidRPr="00B2710F">
        <w:t>decision making</w:t>
      </w:r>
      <w:proofErr w:type="gramEnd"/>
      <w:r w:rsidR="000211C3" w:rsidRPr="00B2710F">
        <w:t xml:space="preserve"> process.  </w:t>
      </w:r>
    </w:p>
    <w:p w14:paraId="24D5D4D6" w14:textId="3A52D31C" w:rsidR="00293BD4" w:rsidRPr="00B2710F" w:rsidRDefault="00293BD4">
      <w:pPr>
        <w:rPr>
          <w:b/>
          <w:bCs/>
        </w:rPr>
      </w:pPr>
    </w:p>
    <w:p w14:paraId="1679A9F3" w14:textId="0DE67C5A" w:rsidR="00293BD4" w:rsidRPr="00B2710F" w:rsidRDefault="00293BD4">
      <w:pPr>
        <w:rPr>
          <w:b/>
          <w:bCs/>
        </w:rPr>
      </w:pPr>
      <w:r w:rsidRPr="00B2710F">
        <w:rPr>
          <w:b/>
          <w:bCs/>
        </w:rPr>
        <w:t>Appeals</w:t>
      </w:r>
    </w:p>
    <w:p w14:paraId="5E3D2F8A" w14:textId="6C55AD75" w:rsidR="002E1D69" w:rsidRPr="00B2710F" w:rsidRDefault="002E1D69">
      <w:pPr>
        <w:rPr>
          <w:b/>
          <w:bCs/>
        </w:rPr>
      </w:pPr>
    </w:p>
    <w:p w14:paraId="2DEC5C3D" w14:textId="47793334" w:rsidR="002E1D69" w:rsidRPr="00B2710F" w:rsidRDefault="004A3621">
      <w:r>
        <w:t xml:space="preserve">The applicant may request a review of a decision by writing to </w:t>
      </w:r>
      <w:r w:rsidR="009C0504">
        <w:t xml:space="preserve">Harrow Council setting out the reason they think the decision is incorrect.  The decision will be reviewed by an officer more senior than the original decision maker.  </w:t>
      </w:r>
      <w:r w:rsidR="00643700">
        <w:t xml:space="preserve">The decision will be communicated to the application within one month or as soon as </w:t>
      </w:r>
      <w:r w:rsidR="00252FBA">
        <w:t xml:space="preserve">is reasonably </w:t>
      </w:r>
      <w:r w:rsidR="00643700">
        <w:t>practica</w:t>
      </w:r>
      <w:r w:rsidR="002F3105">
        <w:t>ble</w:t>
      </w:r>
      <w:r w:rsidR="00643700">
        <w:t>.</w:t>
      </w:r>
      <w:r w:rsidR="002F3105">
        <w:t xml:space="preserve">  This decision is final.</w:t>
      </w:r>
      <w:r w:rsidR="00643700">
        <w:t xml:space="preserve">  </w:t>
      </w:r>
    </w:p>
    <w:p w14:paraId="25E59E4D" w14:textId="74F6AF49" w:rsidR="00293BD4" w:rsidRPr="00B2710F" w:rsidRDefault="00293BD4">
      <w:pPr>
        <w:rPr>
          <w:b/>
          <w:bCs/>
        </w:rPr>
      </w:pPr>
    </w:p>
    <w:p w14:paraId="2BC68A4F" w14:textId="44655CC4" w:rsidR="00FA2F2C" w:rsidRDefault="00FA2F2C">
      <w:pPr>
        <w:rPr>
          <w:b/>
          <w:bCs/>
        </w:rPr>
      </w:pPr>
      <w:r>
        <w:rPr>
          <w:b/>
          <w:bCs/>
        </w:rPr>
        <w:t>Complaints</w:t>
      </w:r>
    </w:p>
    <w:p w14:paraId="045CFC90" w14:textId="7FA4B752" w:rsidR="00FA2F2C" w:rsidRDefault="00FA2F2C">
      <w:pPr>
        <w:rPr>
          <w:b/>
          <w:bCs/>
        </w:rPr>
      </w:pPr>
    </w:p>
    <w:p w14:paraId="6D19C91C" w14:textId="59BBA3D8" w:rsidR="00FA2F2C" w:rsidRPr="0030547C" w:rsidRDefault="00413B0B">
      <w:r w:rsidRPr="0030547C">
        <w:t xml:space="preserve">Any complaints </w:t>
      </w:r>
      <w:r>
        <w:t xml:space="preserve">made </w:t>
      </w:r>
      <w:proofErr w:type="gramStart"/>
      <w:r>
        <w:t>in reference to</w:t>
      </w:r>
      <w:proofErr w:type="gramEnd"/>
      <w:r>
        <w:t xml:space="preserve"> the Household Support Fund will be considered under the Council’s Corporate Complaints Policy.</w:t>
      </w:r>
    </w:p>
    <w:p w14:paraId="26283E1C" w14:textId="77777777" w:rsidR="00FA2F2C" w:rsidRDefault="00FA2F2C">
      <w:pPr>
        <w:rPr>
          <w:b/>
          <w:bCs/>
        </w:rPr>
      </w:pPr>
    </w:p>
    <w:p w14:paraId="36AF7004" w14:textId="7AB4C7AC" w:rsidR="00293BD4" w:rsidRPr="00B2710F" w:rsidRDefault="00293BD4">
      <w:pPr>
        <w:rPr>
          <w:b/>
          <w:bCs/>
        </w:rPr>
      </w:pPr>
      <w:r w:rsidRPr="00B2710F">
        <w:rPr>
          <w:b/>
          <w:bCs/>
        </w:rPr>
        <w:t>Policy review</w:t>
      </w:r>
    </w:p>
    <w:p w14:paraId="69400597" w14:textId="582354C2" w:rsidR="004007FB" w:rsidRPr="00B2710F" w:rsidRDefault="004007FB">
      <w:pPr>
        <w:rPr>
          <w:b/>
          <w:bCs/>
        </w:rPr>
      </w:pPr>
    </w:p>
    <w:p w14:paraId="5E778DB0" w14:textId="6328930E" w:rsidR="004007FB" w:rsidRPr="00B2710F" w:rsidRDefault="004007FB">
      <w:r w:rsidRPr="00B2710F">
        <w:t xml:space="preserve">The policy will be subject to periodic review by the </w:t>
      </w:r>
      <w:r w:rsidR="00AA2424" w:rsidRPr="00B2710F">
        <w:t xml:space="preserve">Corporate Director of Resources </w:t>
      </w:r>
      <w:r w:rsidRPr="00B2710F">
        <w:t xml:space="preserve">or his authorised </w:t>
      </w:r>
      <w:r w:rsidR="00AC244A" w:rsidRPr="00B2710F">
        <w:t xml:space="preserve">officer.  </w:t>
      </w:r>
    </w:p>
    <w:p w14:paraId="3D3A24C6" w14:textId="7AA18563" w:rsidR="00293BD4" w:rsidRPr="00B2710F" w:rsidRDefault="00293BD4">
      <w:pPr>
        <w:rPr>
          <w:b/>
          <w:bCs/>
        </w:rPr>
      </w:pPr>
    </w:p>
    <w:p w14:paraId="21870F6B" w14:textId="79AC5920" w:rsidR="00293BD4" w:rsidRPr="00B2710F" w:rsidRDefault="00293BD4">
      <w:pPr>
        <w:rPr>
          <w:b/>
          <w:bCs/>
        </w:rPr>
      </w:pPr>
      <w:r w:rsidRPr="00B2710F">
        <w:rPr>
          <w:b/>
          <w:bCs/>
        </w:rPr>
        <w:t>Combatting fraud</w:t>
      </w:r>
    </w:p>
    <w:p w14:paraId="63E4215A" w14:textId="41E055EF" w:rsidR="00AC244A" w:rsidRPr="00B2710F" w:rsidRDefault="00AC244A">
      <w:pPr>
        <w:rPr>
          <w:b/>
          <w:bCs/>
        </w:rPr>
      </w:pPr>
    </w:p>
    <w:p w14:paraId="564D7C4D" w14:textId="269E68C3" w:rsidR="00AC244A" w:rsidRPr="00B2710F" w:rsidRDefault="00AC244A">
      <w:proofErr w:type="gramStart"/>
      <w:r w:rsidRPr="00B2710F">
        <w:t>In order to</w:t>
      </w:r>
      <w:proofErr w:type="gramEnd"/>
      <w:r w:rsidRPr="00B2710F">
        <w:t xml:space="preserve"> ensure that applications for funding are not subject to </w:t>
      </w:r>
      <w:r w:rsidR="00C46A1F" w:rsidRPr="00B2710F">
        <w:t>abuse, all submitted applications will require a statutory declaration of truth, a statement regarding data processing and a recovery of funds statement.</w:t>
      </w:r>
      <w:r w:rsidR="00EF6D6B" w:rsidRPr="00B2710F">
        <w:t xml:space="preserve">  </w:t>
      </w:r>
      <w:r w:rsidR="00C46A1F" w:rsidRPr="00B2710F">
        <w:t xml:space="preserve">This declaration allows for the Council, through its corporate anti-fraud team, to carry out post payment checks </w:t>
      </w:r>
      <w:proofErr w:type="gramStart"/>
      <w:r w:rsidR="00C46A1F" w:rsidRPr="00B2710F">
        <w:t>in order to</w:t>
      </w:r>
      <w:proofErr w:type="gramEnd"/>
      <w:r w:rsidR="00C46A1F" w:rsidRPr="00B2710F">
        <w:t xml:space="preserve"> give greater assurance that the funds were claimed correctly.  </w:t>
      </w:r>
      <w:r w:rsidR="00F342E3" w:rsidRPr="00B2710F">
        <w:t xml:space="preserve">The declaration will carry a warning that allows the Council to consider taking criminal action against persons who have been found to have deliberately made false applications for the funding.  It also allows for the recovery of funds which have been paid </w:t>
      </w:r>
      <w:r w:rsidR="00653EBA" w:rsidRPr="00B2710F">
        <w:t>based on false or inaccurate information.</w:t>
      </w:r>
    </w:p>
    <w:p w14:paraId="65AB5E0B" w14:textId="7A43A888" w:rsidR="003D5EEF" w:rsidRPr="00B2710F" w:rsidRDefault="003D5EEF"/>
    <w:p w14:paraId="10A54FC3" w14:textId="12E342FE" w:rsidR="003D5EEF" w:rsidRPr="00B2710F" w:rsidRDefault="00327E32">
      <w:r w:rsidRPr="00B2710F">
        <w:lastRenderedPageBreak/>
        <w:t>All awards will be made within existing compliance procedures and policies that apply to the Council’s financial systems</w:t>
      </w:r>
      <w:r w:rsidR="003B3238" w:rsidRPr="00B2710F">
        <w:t xml:space="preserve">.  </w:t>
      </w:r>
    </w:p>
    <w:p w14:paraId="67B77F3E" w14:textId="05995334" w:rsidR="00817168" w:rsidRPr="00B2710F" w:rsidRDefault="00817168"/>
    <w:p w14:paraId="6619B806" w14:textId="7EA00E6A" w:rsidR="00817168" w:rsidRPr="00B2710F" w:rsidRDefault="00817168">
      <w:pPr>
        <w:rPr>
          <w:b/>
          <w:bCs/>
        </w:rPr>
      </w:pPr>
      <w:r w:rsidRPr="00B2710F">
        <w:rPr>
          <w:b/>
          <w:bCs/>
        </w:rPr>
        <w:t>Ver</w:t>
      </w:r>
      <w:r w:rsidR="002B4A29" w:rsidRPr="00B2710F">
        <w:rPr>
          <w:b/>
          <w:bCs/>
        </w:rPr>
        <w:t>i</w:t>
      </w:r>
      <w:r w:rsidRPr="00B2710F">
        <w:rPr>
          <w:b/>
          <w:bCs/>
        </w:rPr>
        <w:t>fication</w:t>
      </w:r>
    </w:p>
    <w:p w14:paraId="58F34F63" w14:textId="09395DA3" w:rsidR="00FB4F40" w:rsidRPr="00B2710F" w:rsidRDefault="00FB4F40"/>
    <w:p w14:paraId="78C9F36E" w14:textId="1F35D38A" w:rsidR="00FB4F40" w:rsidRPr="00B2710F" w:rsidRDefault="00817168">
      <w:r w:rsidRPr="00B2710F">
        <w:t xml:space="preserve">Verification of the </w:t>
      </w:r>
      <w:r w:rsidR="002B4A29" w:rsidRPr="00B2710F">
        <w:t>household’s</w:t>
      </w:r>
      <w:r w:rsidRPr="00B2710F">
        <w:t xml:space="preserve"> circumstances will be required to verify </w:t>
      </w:r>
      <w:r w:rsidR="002B4A29" w:rsidRPr="00B2710F">
        <w:t>the application.  This will include p</w:t>
      </w:r>
      <w:r w:rsidR="00FB4F40" w:rsidRPr="00B2710F">
        <w:t xml:space="preserve">roof of identity and national insurance number for any awards made using a Payment Card.  A bank statement showing name, address, account number and sort code will be required for awards via BACS.  </w:t>
      </w:r>
    </w:p>
    <w:p w14:paraId="38A3C872" w14:textId="7E4D9035" w:rsidR="00293BD4" w:rsidRPr="00B2710F" w:rsidRDefault="00293BD4">
      <w:pPr>
        <w:rPr>
          <w:b/>
          <w:bCs/>
        </w:rPr>
      </w:pPr>
    </w:p>
    <w:p w14:paraId="00A23672" w14:textId="102D047F" w:rsidR="00293BD4" w:rsidRDefault="0018019D">
      <w:pPr>
        <w:rPr>
          <w:b/>
          <w:bCs/>
        </w:rPr>
      </w:pPr>
      <w:r w:rsidRPr="00B2710F">
        <w:rPr>
          <w:b/>
          <w:bCs/>
        </w:rPr>
        <w:t>The award</w:t>
      </w:r>
    </w:p>
    <w:p w14:paraId="2A122C51" w14:textId="163AF166" w:rsidR="00653EBA" w:rsidRDefault="00653EBA">
      <w:pPr>
        <w:rPr>
          <w:b/>
          <w:bCs/>
        </w:rPr>
      </w:pPr>
    </w:p>
    <w:p w14:paraId="6E4BA4F4" w14:textId="2625D12A" w:rsidR="00653EBA" w:rsidRDefault="00653EBA">
      <w:r>
        <w:t xml:space="preserve">It is intended that all applications will be processed within </w:t>
      </w:r>
      <w:r w:rsidR="00E93927">
        <w:t>five working days of receipt of all required evidence</w:t>
      </w:r>
      <w:r w:rsidR="00F03F18">
        <w:t>.  Payments will be made in-kind, by voucher, by payment card with or without ATM use, via BACS</w:t>
      </w:r>
      <w:r w:rsidR="00E93927">
        <w:t xml:space="preserve"> </w:t>
      </w:r>
      <w:r w:rsidR="00F03F18">
        <w:t xml:space="preserve">or as a direct payment to landlord or energy fuel/water provider.  </w:t>
      </w:r>
      <w:r w:rsidR="004B5D16">
        <w:t xml:space="preserve">Successful applicants should expect to receive the funds within seven working days of the fully completed application.  </w:t>
      </w:r>
      <w:r w:rsidR="004D5F1D">
        <w:t xml:space="preserve">Where a payment card is awarded the applicant will be required to sign a </w:t>
      </w:r>
      <w:r w:rsidR="003D5EEF">
        <w:t>Cardholder Agreement to confirm they understand the undertaking of using the card.</w:t>
      </w:r>
    </w:p>
    <w:p w14:paraId="7B09194F" w14:textId="271CF425" w:rsidR="003719BA" w:rsidRDefault="003719BA"/>
    <w:p w14:paraId="1CCF0071" w14:textId="7E3AD67F" w:rsidR="003719BA" w:rsidRDefault="003719BA">
      <w:r>
        <w:t>As funding is limited, any award will be on a first come first served basis.  The Council cannot commit to further funding applications once all available funding has been allocated.</w:t>
      </w:r>
    </w:p>
    <w:p w14:paraId="3243CDAF" w14:textId="6E367CAD" w:rsidR="00C36723" w:rsidRDefault="00C36723"/>
    <w:p w14:paraId="3B59EB57" w14:textId="77777777" w:rsidR="00C36723" w:rsidRDefault="00C36723"/>
    <w:p w14:paraId="097EBB18" w14:textId="5DDC4B01" w:rsidR="003719BA" w:rsidRDefault="003719BA"/>
    <w:p w14:paraId="6736438C" w14:textId="3A90A67F" w:rsidR="003719BA" w:rsidRPr="00653EBA" w:rsidRDefault="003719BA"/>
    <w:sectPr w:rsidR="003719BA" w:rsidRPr="00653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22A9"/>
    <w:multiLevelType w:val="multilevel"/>
    <w:tmpl w:val="6414B99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i w:val="0"/>
        <w:iCs w:val="0"/>
      </w:rPr>
    </w:lvl>
    <w:lvl w:ilvl="2">
      <w:start w:val="1"/>
      <w:numFmt w:val="decimal"/>
      <w:lvlText w:val="%1.%2.%3"/>
      <w:lvlJc w:val="left"/>
      <w:pPr>
        <w:tabs>
          <w:tab w:val="num" w:pos="1440"/>
        </w:tabs>
        <w:ind w:left="1440" w:hanging="720"/>
      </w:pPr>
      <w:rPr>
        <w:b w:val="0"/>
        <w:bCs w:val="0"/>
        <w:i w:val="0"/>
        <w:iCs w:val="0"/>
      </w:rPr>
    </w:lvl>
    <w:lvl w:ilvl="3">
      <w:start w:val="1"/>
      <w:numFmt w:val="lowerLetter"/>
      <w:lvlText w:val="%4)"/>
      <w:lvlJc w:val="left"/>
      <w:pPr>
        <w:tabs>
          <w:tab w:val="num" w:pos="2160"/>
        </w:tabs>
        <w:ind w:left="2160" w:hanging="720"/>
      </w:pPr>
      <w:rPr>
        <w:b w:val="0"/>
        <w:bCs w:val="0"/>
        <w:i w:val="0"/>
        <w:iCs w:val="0"/>
      </w:rPr>
    </w:lvl>
    <w:lvl w:ilvl="4">
      <w:start w:val="1"/>
      <w:numFmt w:val="lowerRoman"/>
      <w:lvlText w:val="%5"/>
      <w:lvlJc w:val="left"/>
      <w:pPr>
        <w:tabs>
          <w:tab w:val="num" w:pos="2880"/>
        </w:tabs>
        <w:ind w:left="2880" w:hanging="720"/>
      </w:pPr>
      <w:rPr>
        <w:b w:val="0"/>
        <w:bCs w:val="0"/>
        <w:i w:val="0"/>
        <w:iCs w:val="0"/>
      </w:rPr>
    </w:lvl>
    <w:lvl w:ilvl="5">
      <w:start w:val="1"/>
      <w:numFmt w:val="none"/>
      <w:suff w:val="nothing"/>
      <w:lvlText w:val=""/>
      <w:lvlJc w:val="left"/>
      <w:rPr>
        <w:b w:val="0"/>
        <w:bCs w:val="0"/>
        <w:i w:val="0"/>
        <w:iCs w:val="0"/>
      </w:rPr>
    </w:lvl>
    <w:lvl w:ilvl="6">
      <w:start w:val="1"/>
      <w:numFmt w:val="none"/>
      <w:suff w:val="nothing"/>
      <w:lvlText w:val=""/>
      <w:lvlJc w:val="left"/>
      <w:rPr>
        <w:b w:val="0"/>
        <w:bCs w:val="0"/>
        <w:i w:val="0"/>
        <w:iCs w:val="0"/>
      </w:rPr>
    </w:lvl>
    <w:lvl w:ilvl="7">
      <w:start w:val="1"/>
      <w:numFmt w:val="none"/>
      <w:suff w:val="nothing"/>
      <w:lvlText w:val=""/>
      <w:lvlJc w:val="left"/>
      <w:rPr>
        <w:b w:val="0"/>
        <w:bCs w:val="0"/>
        <w:i w:val="0"/>
        <w:iCs w:val="0"/>
      </w:rPr>
    </w:lvl>
    <w:lvl w:ilvl="8">
      <w:start w:val="1"/>
      <w:numFmt w:val="none"/>
      <w:suff w:val="nothing"/>
      <w:lvlText w:val=""/>
      <w:lvlJc w:val="left"/>
      <w:rPr>
        <w:b w:val="0"/>
        <w:bCs w:val="0"/>
        <w:i w:val="0"/>
        <w:iCs w:val="0"/>
      </w:rPr>
    </w:lvl>
  </w:abstractNum>
  <w:abstractNum w:abstractNumId="1" w15:restartNumberingAfterBreak="0">
    <w:nsid w:val="13FE2E50"/>
    <w:multiLevelType w:val="hybridMultilevel"/>
    <w:tmpl w:val="3580BB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313F8"/>
    <w:multiLevelType w:val="multilevel"/>
    <w:tmpl w:val="B34ABD8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i w:val="0"/>
        <w:iCs w:val="0"/>
      </w:rPr>
    </w:lvl>
    <w:lvl w:ilvl="2">
      <w:start w:val="1"/>
      <w:numFmt w:val="decimal"/>
      <w:lvlText w:val="%1.%2.%3"/>
      <w:lvlJc w:val="left"/>
      <w:pPr>
        <w:tabs>
          <w:tab w:val="num" w:pos="1440"/>
        </w:tabs>
        <w:ind w:left="1440" w:hanging="720"/>
      </w:pPr>
      <w:rPr>
        <w:b w:val="0"/>
        <w:bCs w:val="0"/>
        <w:i w:val="0"/>
        <w:iCs w:val="0"/>
      </w:rPr>
    </w:lvl>
    <w:lvl w:ilvl="3">
      <w:start w:val="1"/>
      <w:numFmt w:val="lowerLetter"/>
      <w:lvlText w:val="%4)"/>
      <w:lvlJc w:val="left"/>
      <w:pPr>
        <w:tabs>
          <w:tab w:val="num" w:pos="2160"/>
        </w:tabs>
        <w:ind w:left="2160" w:hanging="720"/>
      </w:pPr>
      <w:rPr>
        <w:b w:val="0"/>
        <w:bCs w:val="0"/>
        <w:i w:val="0"/>
        <w:iCs w:val="0"/>
      </w:rPr>
    </w:lvl>
    <w:lvl w:ilvl="4">
      <w:start w:val="1"/>
      <w:numFmt w:val="lowerRoman"/>
      <w:lvlText w:val="%5"/>
      <w:lvlJc w:val="left"/>
      <w:pPr>
        <w:tabs>
          <w:tab w:val="num" w:pos="2880"/>
        </w:tabs>
        <w:ind w:left="2880" w:hanging="720"/>
      </w:pPr>
      <w:rPr>
        <w:b w:val="0"/>
        <w:bCs w:val="0"/>
        <w:i w:val="0"/>
        <w:iCs w:val="0"/>
      </w:rPr>
    </w:lvl>
    <w:lvl w:ilvl="5">
      <w:start w:val="1"/>
      <w:numFmt w:val="none"/>
      <w:suff w:val="nothing"/>
      <w:lvlText w:val=""/>
      <w:lvlJc w:val="left"/>
      <w:rPr>
        <w:b w:val="0"/>
        <w:bCs w:val="0"/>
        <w:i w:val="0"/>
        <w:iCs w:val="0"/>
      </w:rPr>
    </w:lvl>
    <w:lvl w:ilvl="6">
      <w:start w:val="1"/>
      <w:numFmt w:val="none"/>
      <w:suff w:val="nothing"/>
      <w:lvlText w:val=""/>
      <w:lvlJc w:val="left"/>
      <w:rPr>
        <w:b w:val="0"/>
        <w:bCs w:val="0"/>
        <w:i w:val="0"/>
        <w:iCs w:val="0"/>
      </w:rPr>
    </w:lvl>
    <w:lvl w:ilvl="7">
      <w:start w:val="1"/>
      <w:numFmt w:val="none"/>
      <w:suff w:val="nothing"/>
      <w:lvlText w:val=""/>
      <w:lvlJc w:val="left"/>
      <w:rPr>
        <w:b w:val="0"/>
        <w:bCs w:val="0"/>
        <w:i w:val="0"/>
        <w:iCs w:val="0"/>
      </w:rPr>
    </w:lvl>
    <w:lvl w:ilvl="8">
      <w:start w:val="1"/>
      <w:numFmt w:val="none"/>
      <w:suff w:val="nothing"/>
      <w:lvlText w:val=""/>
      <w:lvlJc w:val="left"/>
      <w:rPr>
        <w:b w:val="0"/>
        <w:bCs w:val="0"/>
        <w:i w:val="0"/>
        <w:iCs w:val="0"/>
      </w:rPr>
    </w:lvl>
  </w:abstractNum>
  <w:abstractNum w:abstractNumId="3" w15:restartNumberingAfterBreak="0">
    <w:nsid w:val="1B9E41FC"/>
    <w:multiLevelType w:val="hybridMultilevel"/>
    <w:tmpl w:val="5F50DF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54ED8"/>
    <w:multiLevelType w:val="hybridMultilevel"/>
    <w:tmpl w:val="E89A080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B5E5D"/>
    <w:multiLevelType w:val="hybridMultilevel"/>
    <w:tmpl w:val="EBB05BEA"/>
    <w:lvl w:ilvl="0" w:tplc="46301A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11440"/>
    <w:multiLevelType w:val="hybridMultilevel"/>
    <w:tmpl w:val="3580BB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A2D66"/>
    <w:multiLevelType w:val="hybridMultilevel"/>
    <w:tmpl w:val="74881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4F6875"/>
    <w:multiLevelType w:val="multilevel"/>
    <w:tmpl w:val="A022A6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1644"/>
        </w:tabs>
        <w:ind w:left="1644" w:hanging="737"/>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B7F3B21"/>
    <w:multiLevelType w:val="multilevel"/>
    <w:tmpl w:val="F8F8D15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1440"/>
        </w:tabs>
        <w:ind w:left="1440" w:hanging="720"/>
      </w:pPr>
      <w:rPr>
        <w:b w:val="0"/>
        <w:i w:val="0"/>
      </w:rPr>
    </w:lvl>
    <w:lvl w:ilvl="3">
      <w:start w:val="1"/>
      <w:numFmt w:val="lowerLetter"/>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none"/>
      <w:suff w:val="nothing"/>
      <w:lvlText w:val=""/>
      <w:lvlJc w:val="left"/>
      <w:pPr>
        <w:ind w:left="0" w:firstLine="0"/>
      </w:pPr>
      <w:rPr>
        <w:b w:val="0"/>
        <w:i w:val="0"/>
      </w:rPr>
    </w:lvl>
    <w:lvl w:ilvl="6">
      <w:start w:val="1"/>
      <w:numFmt w:val="none"/>
      <w:suff w:val="nothing"/>
      <w:lvlText w:val=""/>
      <w:lvlJc w:val="left"/>
      <w:pPr>
        <w:ind w:left="0" w:firstLine="0"/>
      </w:pPr>
      <w:rPr>
        <w:b w:val="0"/>
        <w:i w:val="0"/>
      </w:rPr>
    </w:lvl>
    <w:lvl w:ilvl="7">
      <w:start w:val="1"/>
      <w:numFmt w:val="none"/>
      <w:suff w:val="nothing"/>
      <w:lvlText w:val=""/>
      <w:lvlJc w:val="left"/>
      <w:pPr>
        <w:ind w:left="0" w:firstLine="0"/>
      </w:pPr>
      <w:rPr>
        <w:b w:val="0"/>
        <w:i w:val="0"/>
      </w:rPr>
    </w:lvl>
    <w:lvl w:ilvl="8">
      <w:start w:val="1"/>
      <w:numFmt w:val="none"/>
      <w:suff w:val="nothing"/>
      <w:lvlText w:val=""/>
      <w:lvlJc w:val="left"/>
      <w:pPr>
        <w:ind w:left="0" w:firstLine="0"/>
      </w:pPr>
      <w:rPr>
        <w:b w:val="0"/>
        <w:i w:val="0"/>
      </w:rPr>
    </w:lvl>
  </w:abstractNum>
  <w:abstractNum w:abstractNumId="10" w15:restartNumberingAfterBreak="0">
    <w:nsid w:val="783145D3"/>
    <w:multiLevelType w:val="multilevel"/>
    <w:tmpl w:val="4F9C767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val="0"/>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797E38FD"/>
    <w:multiLevelType w:val="hybridMultilevel"/>
    <w:tmpl w:val="DE7A9078"/>
    <w:lvl w:ilvl="0" w:tplc="36B29B8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D1365"/>
    <w:multiLevelType w:val="hybridMultilevel"/>
    <w:tmpl w:val="9FB09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0"/>
  </w:num>
  <w:num w:numId="12">
    <w:abstractNumId w:val="2"/>
  </w:num>
  <w:num w:numId="13">
    <w:abstractNumId w:val="2"/>
  </w:num>
  <w:num w:numId="14">
    <w:abstractNumId w:val="2"/>
  </w:num>
  <w:num w:numId="15">
    <w:abstractNumId w:val="2"/>
  </w:num>
  <w:num w:numId="16">
    <w:abstractNumId w:val="2"/>
  </w:num>
  <w:num w:numId="17">
    <w:abstractNumId w:val="8"/>
  </w:num>
  <w:num w:numId="18">
    <w:abstractNumId w:val="8"/>
  </w:num>
  <w:num w:numId="19">
    <w:abstractNumId w:val="0"/>
  </w:num>
  <w:num w:numId="20">
    <w:abstractNumId w:val="0"/>
  </w:num>
  <w:num w:numId="21">
    <w:abstractNumId w:val="2"/>
  </w:num>
  <w:num w:numId="22">
    <w:abstractNumId w:val="2"/>
  </w:num>
  <w:num w:numId="23">
    <w:abstractNumId w:val="2"/>
  </w:num>
  <w:num w:numId="24">
    <w:abstractNumId w:val="2"/>
  </w:num>
  <w:num w:numId="25">
    <w:abstractNumId w:val="2"/>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2"/>
  </w:num>
  <w:num w:numId="38">
    <w:abstractNumId w:val="2"/>
  </w:num>
  <w:num w:numId="39">
    <w:abstractNumId w:val="2"/>
  </w:num>
  <w:num w:numId="40">
    <w:abstractNumId w:val="2"/>
  </w:num>
  <w:num w:numId="41">
    <w:abstractNumId w:val="2"/>
  </w:num>
  <w:num w:numId="42">
    <w:abstractNumId w:val="10"/>
  </w:num>
  <w:num w:numId="43">
    <w:abstractNumId w:val="12"/>
  </w:num>
  <w:num w:numId="44">
    <w:abstractNumId w:val="5"/>
  </w:num>
  <w:num w:numId="45">
    <w:abstractNumId w:val="3"/>
  </w:num>
  <w:num w:numId="46">
    <w:abstractNumId w:val="6"/>
  </w:num>
  <w:num w:numId="47">
    <w:abstractNumId w:val="1"/>
  </w:num>
  <w:num w:numId="48">
    <w:abstractNumId w:val="4"/>
  </w:num>
  <w:num w:numId="49">
    <w:abstractNumId w:val="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90"/>
    <w:rsid w:val="00003219"/>
    <w:rsid w:val="00003BD8"/>
    <w:rsid w:val="00013028"/>
    <w:rsid w:val="000211C3"/>
    <w:rsid w:val="00035DA4"/>
    <w:rsid w:val="00036584"/>
    <w:rsid w:val="00044B8B"/>
    <w:rsid w:val="00057829"/>
    <w:rsid w:val="00061032"/>
    <w:rsid w:val="000624C7"/>
    <w:rsid w:val="000705CA"/>
    <w:rsid w:val="00070BB2"/>
    <w:rsid w:val="00077389"/>
    <w:rsid w:val="000865B7"/>
    <w:rsid w:val="0009152D"/>
    <w:rsid w:val="000A019C"/>
    <w:rsid w:val="000A6D2A"/>
    <w:rsid w:val="000B088C"/>
    <w:rsid w:val="000B1D16"/>
    <w:rsid w:val="000C0E2A"/>
    <w:rsid w:val="000C2551"/>
    <w:rsid w:val="000C4253"/>
    <w:rsid w:val="000C7264"/>
    <w:rsid w:val="000D0D44"/>
    <w:rsid w:val="000D4E71"/>
    <w:rsid w:val="000E0678"/>
    <w:rsid w:val="000E5233"/>
    <w:rsid w:val="000E647D"/>
    <w:rsid w:val="000F2971"/>
    <w:rsid w:val="000F3ABC"/>
    <w:rsid w:val="001002A0"/>
    <w:rsid w:val="00102809"/>
    <w:rsid w:val="001106E1"/>
    <w:rsid w:val="00115385"/>
    <w:rsid w:val="0012745F"/>
    <w:rsid w:val="00143031"/>
    <w:rsid w:val="00165743"/>
    <w:rsid w:val="00166CCD"/>
    <w:rsid w:val="0017431E"/>
    <w:rsid w:val="0018019D"/>
    <w:rsid w:val="00180737"/>
    <w:rsid w:val="0018175B"/>
    <w:rsid w:val="00184897"/>
    <w:rsid w:val="001A1A60"/>
    <w:rsid w:val="001A25ED"/>
    <w:rsid w:val="001A46A1"/>
    <w:rsid w:val="001B0072"/>
    <w:rsid w:val="001B2317"/>
    <w:rsid w:val="001C719B"/>
    <w:rsid w:val="001C7EFF"/>
    <w:rsid w:val="001D07D2"/>
    <w:rsid w:val="001D476A"/>
    <w:rsid w:val="001D5E2E"/>
    <w:rsid w:val="001E6488"/>
    <w:rsid w:val="001F0399"/>
    <w:rsid w:val="001F191E"/>
    <w:rsid w:val="00201001"/>
    <w:rsid w:val="0020574E"/>
    <w:rsid w:val="002220D5"/>
    <w:rsid w:val="00230B78"/>
    <w:rsid w:val="002348BE"/>
    <w:rsid w:val="00235E41"/>
    <w:rsid w:val="002367EF"/>
    <w:rsid w:val="002377C9"/>
    <w:rsid w:val="002429C5"/>
    <w:rsid w:val="002458B6"/>
    <w:rsid w:val="00252FBA"/>
    <w:rsid w:val="00254014"/>
    <w:rsid w:val="002706A0"/>
    <w:rsid w:val="00274625"/>
    <w:rsid w:val="00274ED2"/>
    <w:rsid w:val="00276EEE"/>
    <w:rsid w:val="002847CD"/>
    <w:rsid w:val="00287EFB"/>
    <w:rsid w:val="00293BD4"/>
    <w:rsid w:val="00296999"/>
    <w:rsid w:val="002A11F7"/>
    <w:rsid w:val="002A33D7"/>
    <w:rsid w:val="002A6029"/>
    <w:rsid w:val="002A6B91"/>
    <w:rsid w:val="002B09E4"/>
    <w:rsid w:val="002B24A0"/>
    <w:rsid w:val="002B4A29"/>
    <w:rsid w:val="002B4AE3"/>
    <w:rsid w:val="002B5425"/>
    <w:rsid w:val="002C0D4F"/>
    <w:rsid w:val="002E1D69"/>
    <w:rsid w:val="002F033F"/>
    <w:rsid w:val="002F24B4"/>
    <w:rsid w:val="002F3105"/>
    <w:rsid w:val="00300797"/>
    <w:rsid w:val="0030547C"/>
    <w:rsid w:val="003070DF"/>
    <w:rsid w:val="00307C73"/>
    <w:rsid w:val="003168BB"/>
    <w:rsid w:val="0032651C"/>
    <w:rsid w:val="00327E32"/>
    <w:rsid w:val="0033466B"/>
    <w:rsid w:val="00335094"/>
    <w:rsid w:val="003429DE"/>
    <w:rsid w:val="00342F9E"/>
    <w:rsid w:val="003431F1"/>
    <w:rsid w:val="00356D86"/>
    <w:rsid w:val="00363559"/>
    <w:rsid w:val="003639E2"/>
    <w:rsid w:val="00364066"/>
    <w:rsid w:val="00366FCB"/>
    <w:rsid w:val="00371735"/>
    <w:rsid w:val="003719BA"/>
    <w:rsid w:val="00376A14"/>
    <w:rsid w:val="00382BBC"/>
    <w:rsid w:val="003862FF"/>
    <w:rsid w:val="00386890"/>
    <w:rsid w:val="003879E7"/>
    <w:rsid w:val="00391085"/>
    <w:rsid w:val="00395DD4"/>
    <w:rsid w:val="003A08C0"/>
    <w:rsid w:val="003A6688"/>
    <w:rsid w:val="003B3238"/>
    <w:rsid w:val="003C1085"/>
    <w:rsid w:val="003C20BF"/>
    <w:rsid w:val="003C430E"/>
    <w:rsid w:val="003C7803"/>
    <w:rsid w:val="003C7A08"/>
    <w:rsid w:val="003D0279"/>
    <w:rsid w:val="003D3663"/>
    <w:rsid w:val="003D5EEF"/>
    <w:rsid w:val="003E20C6"/>
    <w:rsid w:val="003F391E"/>
    <w:rsid w:val="004007FB"/>
    <w:rsid w:val="00400C09"/>
    <w:rsid w:val="00401B73"/>
    <w:rsid w:val="004045DF"/>
    <w:rsid w:val="00407EDB"/>
    <w:rsid w:val="004106C8"/>
    <w:rsid w:val="00413B0B"/>
    <w:rsid w:val="00414FAA"/>
    <w:rsid w:val="0042446A"/>
    <w:rsid w:val="00434A0A"/>
    <w:rsid w:val="00445089"/>
    <w:rsid w:val="004538F7"/>
    <w:rsid w:val="004577D4"/>
    <w:rsid w:val="00457C1E"/>
    <w:rsid w:val="0046457C"/>
    <w:rsid w:val="00465BDC"/>
    <w:rsid w:val="004736E8"/>
    <w:rsid w:val="00483C4F"/>
    <w:rsid w:val="004853DD"/>
    <w:rsid w:val="00497CCC"/>
    <w:rsid w:val="004A1889"/>
    <w:rsid w:val="004A3621"/>
    <w:rsid w:val="004A3C2A"/>
    <w:rsid w:val="004A5E13"/>
    <w:rsid w:val="004B1132"/>
    <w:rsid w:val="004B3B63"/>
    <w:rsid w:val="004B45D5"/>
    <w:rsid w:val="004B5D16"/>
    <w:rsid w:val="004C77E2"/>
    <w:rsid w:val="004D4A36"/>
    <w:rsid w:val="004D5F1D"/>
    <w:rsid w:val="004E3E0D"/>
    <w:rsid w:val="004E7D4A"/>
    <w:rsid w:val="0050486F"/>
    <w:rsid w:val="005060CD"/>
    <w:rsid w:val="00516992"/>
    <w:rsid w:val="005176D6"/>
    <w:rsid w:val="005313CD"/>
    <w:rsid w:val="0054596B"/>
    <w:rsid w:val="0055212E"/>
    <w:rsid w:val="00557160"/>
    <w:rsid w:val="00567174"/>
    <w:rsid w:val="005731D9"/>
    <w:rsid w:val="00580DE0"/>
    <w:rsid w:val="00584D9F"/>
    <w:rsid w:val="00586267"/>
    <w:rsid w:val="005870E0"/>
    <w:rsid w:val="00587389"/>
    <w:rsid w:val="00594C63"/>
    <w:rsid w:val="00597A70"/>
    <w:rsid w:val="005A6984"/>
    <w:rsid w:val="005B1B03"/>
    <w:rsid w:val="005C0AB2"/>
    <w:rsid w:val="005C673C"/>
    <w:rsid w:val="005C6EAB"/>
    <w:rsid w:val="005D1447"/>
    <w:rsid w:val="005D25FC"/>
    <w:rsid w:val="005D723E"/>
    <w:rsid w:val="005E6789"/>
    <w:rsid w:val="005F089C"/>
    <w:rsid w:val="0060116C"/>
    <w:rsid w:val="00603AEA"/>
    <w:rsid w:val="00610964"/>
    <w:rsid w:val="006204B4"/>
    <w:rsid w:val="006247CA"/>
    <w:rsid w:val="00643700"/>
    <w:rsid w:val="0064647E"/>
    <w:rsid w:val="00646F12"/>
    <w:rsid w:val="00653EBA"/>
    <w:rsid w:val="00654C81"/>
    <w:rsid w:val="0065619C"/>
    <w:rsid w:val="00663E80"/>
    <w:rsid w:val="00664320"/>
    <w:rsid w:val="006676DE"/>
    <w:rsid w:val="006720EA"/>
    <w:rsid w:val="00683B23"/>
    <w:rsid w:val="00690B28"/>
    <w:rsid w:val="0069199B"/>
    <w:rsid w:val="006A646C"/>
    <w:rsid w:val="006B16A2"/>
    <w:rsid w:val="006B31AF"/>
    <w:rsid w:val="006B64AE"/>
    <w:rsid w:val="006B6A04"/>
    <w:rsid w:val="006C4305"/>
    <w:rsid w:val="006D0508"/>
    <w:rsid w:val="006D31A5"/>
    <w:rsid w:val="006D7DEF"/>
    <w:rsid w:val="006E55BC"/>
    <w:rsid w:val="006E5EF0"/>
    <w:rsid w:val="006E6640"/>
    <w:rsid w:val="006F595C"/>
    <w:rsid w:val="00702D8C"/>
    <w:rsid w:val="0073209E"/>
    <w:rsid w:val="00732C40"/>
    <w:rsid w:val="00734F27"/>
    <w:rsid w:val="00735C01"/>
    <w:rsid w:val="0073772F"/>
    <w:rsid w:val="00737890"/>
    <w:rsid w:val="00745564"/>
    <w:rsid w:val="00757A15"/>
    <w:rsid w:val="00761195"/>
    <w:rsid w:val="00770961"/>
    <w:rsid w:val="00777944"/>
    <w:rsid w:val="00782AD3"/>
    <w:rsid w:val="00784C34"/>
    <w:rsid w:val="00790714"/>
    <w:rsid w:val="00793302"/>
    <w:rsid w:val="007A2083"/>
    <w:rsid w:val="007A5114"/>
    <w:rsid w:val="007A5662"/>
    <w:rsid w:val="007B198A"/>
    <w:rsid w:val="007B7405"/>
    <w:rsid w:val="007D3128"/>
    <w:rsid w:val="007D31DF"/>
    <w:rsid w:val="007E1010"/>
    <w:rsid w:val="007E1E1A"/>
    <w:rsid w:val="007E29A1"/>
    <w:rsid w:val="008077D9"/>
    <w:rsid w:val="00811396"/>
    <w:rsid w:val="00812E9D"/>
    <w:rsid w:val="00817168"/>
    <w:rsid w:val="008222EB"/>
    <w:rsid w:val="00823382"/>
    <w:rsid w:val="00844BD2"/>
    <w:rsid w:val="0085177F"/>
    <w:rsid w:val="00853A99"/>
    <w:rsid w:val="00870603"/>
    <w:rsid w:val="008761F7"/>
    <w:rsid w:val="0087676C"/>
    <w:rsid w:val="00883F0B"/>
    <w:rsid w:val="008856F6"/>
    <w:rsid w:val="00896BAE"/>
    <w:rsid w:val="0089731F"/>
    <w:rsid w:val="008A0EF7"/>
    <w:rsid w:val="008A2B35"/>
    <w:rsid w:val="008B2735"/>
    <w:rsid w:val="008B2CE4"/>
    <w:rsid w:val="008B5127"/>
    <w:rsid w:val="008C08CC"/>
    <w:rsid w:val="008C48B7"/>
    <w:rsid w:val="008C6DC9"/>
    <w:rsid w:val="008C7415"/>
    <w:rsid w:val="008D1FB6"/>
    <w:rsid w:val="008D2FAC"/>
    <w:rsid w:val="008D6E6A"/>
    <w:rsid w:val="008E5390"/>
    <w:rsid w:val="008E5EC5"/>
    <w:rsid w:val="008F5980"/>
    <w:rsid w:val="00902889"/>
    <w:rsid w:val="00916269"/>
    <w:rsid w:val="009170F1"/>
    <w:rsid w:val="00920C02"/>
    <w:rsid w:val="009222EF"/>
    <w:rsid w:val="00923F64"/>
    <w:rsid w:val="00926263"/>
    <w:rsid w:val="00930C65"/>
    <w:rsid w:val="00935EBE"/>
    <w:rsid w:val="00944104"/>
    <w:rsid w:val="009450EB"/>
    <w:rsid w:val="00946C40"/>
    <w:rsid w:val="00952198"/>
    <w:rsid w:val="00957BB8"/>
    <w:rsid w:val="00964146"/>
    <w:rsid w:val="009654E0"/>
    <w:rsid w:val="009668A9"/>
    <w:rsid w:val="00970C51"/>
    <w:rsid w:val="00970D7F"/>
    <w:rsid w:val="009804B7"/>
    <w:rsid w:val="00992F95"/>
    <w:rsid w:val="00994584"/>
    <w:rsid w:val="009A30CD"/>
    <w:rsid w:val="009A38A2"/>
    <w:rsid w:val="009A52E6"/>
    <w:rsid w:val="009C0504"/>
    <w:rsid w:val="009C1BE4"/>
    <w:rsid w:val="009C4910"/>
    <w:rsid w:val="009C5E7D"/>
    <w:rsid w:val="009D1216"/>
    <w:rsid w:val="009D42D6"/>
    <w:rsid w:val="009D5294"/>
    <w:rsid w:val="009F488F"/>
    <w:rsid w:val="009F6C7D"/>
    <w:rsid w:val="00A003C3"/>
    <w:rsid w:val="00A0765C"/>
    <w:rsid w:val="00A12B46"/>
    <w:rsid w:val="00A14A9B"/>
    <w:rsid w:val="00A15747"/>
    <w:rsid w:val="00A20FC5"/>
    <w:rsid w:val="00A3117C"/>
    <w:rsid w:val="00A32C1E"/>
    <w:rsid w:val="00A442DD"/>
    <w:rsid w:val="00A558BC"/>
    <w:rsid w:val="00A55D83"/>
    <w:rsid w:val="00A622E9"/>
    <w:rsid w:val="00A73FBE"/>
    <w:rsid w:val="00A824E4"/>
    <w:rsid w:val="00A925C9"/>
    <w:rsid w:val="00A96322"/>
    <w:rsid w:val="00AA2424"/>
    <w:rsid w:val="00AA6B22"/>
    <w:rsid w:val="00AB2698"/>
    <w:rsid w:val="00AB4245"/>
    <w:rsid w:val="00AC244A"/>
    <w:rsid w:val="00AC6232"/>
    <w:rsid w:val="00AC7220"/>
    <w:rsid w:val="00AC78B6"/>
    <w:rsid w:val="00AD33EB"/>
    <w:rsid w:val="00AF2736"/>
    <w:rsid w:val="00AF74D6"/>
    <w:rsid w:val="00B05DD2"/>
    <w:rsid w:val="00B21DBB"/>
    <w:rsid w:val="00B23152"/>
    <w:rsid w:val="00B2710F"/>
    <w:rsid w:val="00B304A3"/>
    <w:rsid w:val="00B35AF2"/>
    <w:rsid w:val="00B400DB"/>
    <w:rsid w:val="00B40141"/>
    <w:rsid w:val="00B51510"/>
    <w:rsid w:val="00B561A5"/>
    <w:rsid w:val="00B6599F"/>
    <w:rsid w:val="00B66931"/>
    <w:rsid w:val="00B94614"/>
    <w:rsid w:val="00B94EF8"/>
    <w:rsid w:val="00BA357D"/>
    <w:rsid w:val="00BB18A4"/>
    <w:rsid w:val="00BC5D44"/>
    <w:rsid w:val="00BD54C8"/>
    <w:rsid w:val="00BF1D20"/>
    <w:rsid w:val="00BF4710"/>
    <w:rsid w:val="00BF4B7A"/>
    <w:rsid w:val="00BF52AB"/>
    <w:rsid w:val="00BF6452"/>
    <w:rsid w:val="00C10ABD"/>
    <w:rsid w:val="00C21389"/>
    <w:rsid w:val="00C21B4C"/>
    <w:rsid w:val="00C317FC"/>
    <w:rsid w:val="00C36723"/>
    <w:rsid w:val="00C40280"/>
    <w:rsid w:val="00C46A1F"/>
    <w:rsid w:val="00C526BA"/>
    <w:rsid w:val="00C53F11"/>
    <w:rsid w:val="00C6077F"/>
    <w:rsid w:val="00C6109A"/>
    <w:rsid w:val="00C63913"/>
    <w:rsid w:val="00C7790E"/>
    <w:rsid w:val="00C85554"/>
    <w:rsid w:val="00CB0ACD"/>
    <w:rsid w:val="00CB4A98"/>
    <w:rsid w:val="00CC7979"/>
    <w:rsid w:val="00CD3D38"/>
    <w:rsid w:val="00CF1231"/>
    <w:rsid w:val="00D103BC"/>
    <w:rsid w:val="00D118F6"/>
    <w:rsid w:val="00D16389"/>
    <w:rsid w:val="00D239B1"/>
    <w:rsid w:val="00D274CC"/>
    <w:rsid w:val="00D317AF"/>
    <w:rsid w:val="00D337BB"/>
    <w:rsid w:val="00D35E2B"/>
    <w:rsid w:val="00D44290"/>
    <w:rsid w:val="00D447D8"/>
    <w:rsid w:val="00D471D4"/>
    <w:rsid w:val="00D52373"/>
    <w:rsid w:val="00D55C19"/>
    <w:rsid w:val="00D745A5"/>
    <w:rsid w:val="00D74E8B"/>
    <w:rsid w:val="00D7751A"/>
    <w:rsid w:val="00D80575"/>
    <w:rsid w:val="00D943B6"/>
    <w:rsid w:val="00D971E0"/>
    <w:rsid w:val="00DA046B"/>
    <w:rsid w:val="00DA4DF1"/>
    <w:rsid w:val="00DA5148"/>
    <w:rsid w:val="00DA6835"/>
    <w:rsid w:val="00DB058A"/>
    <w:rsid w:val="00DC2CAC"/>
    <w:rsid w:val="00DD3554"/>
    <w:rsid w:val="00DD553D"/>
    <w:rsid w:val="00DD6509"/>
    <w:rsid w:val="00DF6C7B"/>
    <w:rsid w:val="00E00088"/>
    <w:rsid w:val="00E1128F"/>
    <w:rsid w:val="00E11C4E"/>
    <w:rsid w:val="00E16173"/>
    <w:rsid w:val="00E23C7F"/>
    <w:rsid w:val="00E2458D"/>
    <w:rsid w:val="00E3182A"/>
    <w:rsid w:val="00E33CD7"/>
    <w:rsid w:val="00E41F4A"/>
    <w:rsid w:val="00E50B50"/>
    <w:rsid w:val="00E625D3"/>
    <w:rsid w:val="00E632D3"/>
    <w:rsid w:val="00E93927"/>
    <w:rsid w:val="00E94F5A"/>
    <w:rsid w:val="00E96C44"/>
    <w:rsid w:val="00ED2D85"/>
    <w:rsid w:val="00EE10FE"/>
    <w:rsid w:val="00EF6D6B"/>
    <w:rsid w:val="00EF7A83"/>
    <w:rsid w:val="00F03F18"/>
    <w:rsid w:val="00F06B46"/>
    <w:rsid w:val="00F14EBD"/>
    <w:rsid w:val="00F16651"/>
    <w:rsid w:val="00F16F1F"/>
    <w:rsid w:val="00F23961"/>
    <w:rsid w:val="00F25249"/>
    <w:rsid w:val="00F30B10"/>
    <w:rsid w:val="00F342E3"/>
    <w:rsid w:val="00F42838"/>
    <w:rsid w:val="00F47708"/>
    <w:rsid w:val="00F502BC"/>
    <w:rsid w:val="00F50FEA"/>
    <w:rsid w:val="00F60DB7"/>
    <w:rsid w:val="00F644A1"/>
    <w:rsid w:val="00F7010F"/>
    <w:rsid w:val="00F849E6"/>
    <w:rsid w:val="00F91D00"/>
    <w:rsid w:val="00F9512A"/>
    <w:rsid w:val="00FA2F2C"/>
    <w:rsid w:val="00FB4F40"/>
    <w:rsid w:val="00FB58DE"/>
    <w:rsid w:val="00FC1B45"/>
    <w:rsid w:val="00FC1DF9"/>
    <w:rsid w:val="00FC39AF"/>
    <w:rsid w:val="00FC524D"/>
    <w:rsid w:val="00FD14C4"/>
    <w:rsid w:val="00FF42B8"/>
    <w:rsid w:val="00FF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7F69"/>
  <w15:docId w15:val="{9CFB48B9-6CEF-4325-81B5-6EB99989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6232"/>
    <w:rPr>
      <w:rFonts w:ascii="Arial" w:hAnsi="Arial" w:cs="Arial"/>
      <w:sz w:val="24"/>
      <w:szCs w:val="22"/>
      <w:lang w:val="en-GB" w:eastAsia="en-GB"/>
    </w:rPr>
  </w:style>
  <w:style w:type="paragraph" w:styleId="Heading1">
    <w:name w:val="heading 1"/>
    <w:basedOn w:val="Normal"/>
    <w:next w:val="Normal"/>
    <w:link w:val="Heading1Char"/>
    <w:rsid w:val="00AC6232"/>
    <w:pPr>
      <w:keepNext/>
      <w:jc w:val="both"/>
      <w:outlineLvl w:val="0"/>
    </w:pPr>
    <w:rPr>
      <w:b/>
      <w:bCs/>
      <w:kern w:val="32"/>
      <w:sz w:val="32"/>
      <w:szCs w:val="32"/>
    </w:rPr>
  </w:style>
  <w:style w:type="paragraph" w:styleId="Heading2">
    <w:name w:val="heading 2"/>
    <w:basedOn w:val="Normal"/>
    <w:next w:val="Normal"/>
    <w:link w:val="Heading2Char"/>
    <w:rsid w:val="00AC6232"/>
    <w:pPr>
      <w:keepNext/>
      <w:autoSpaceDE w:val="0"/>
      <w:autoSpaceDN w:val="0"/>
      <w:outlineLvl w:val="1"/>
    </w:pPr>
    <w:rPr>
      <w:bCs/>
      <w:szCs w:val="20"/>
    </w:rPr>
  </w:style>
  <w:style w:type="paragraph" w:styleId="Heading3">
    <w:name w:val="heading 3"/>
    <w:basedOn w:val="Normal"/>
    <w:next w:val="Normal"/>
    <w:link w:val="Heading3Char"/>
    <w:rsid w:val="00AC6232"/>
    <w:pPr>
      <w:keepNext/>
      <w:tabs>
        <w:tab w:val="center" w:pos="4513"/>
      </w:tabs>
      <w:suppressAutoHyphens/>
      <w:autoSpaceDE w:val="0"/>
      <w:autoSpaceDN w:val="0"/>
      <w:adjustRightInd w:val="0"/>
      <w:jc w:val="center"/>
      <w:outlineLvl w:val="2"/>
    </w:pPr>
    <w:rPr>
      <w:bCs/>
      <w:spacing w:val="-3"/>
      <w:szCs w:val="20"/>
    </w:rPr>
  </w:style>
  <w:style w:type="paragraph" w:styleId="Heading4">
    <w:name w:val="heading 4"/>
    <w:basedOn w:val="Normal"/>
    <w:next w:val="Normal"/>
    <w:link w:val="Heading4Char"/>
    <w:rsid w:val="00AC6232"/>
    <w:pPr>
      <w:keepNext/>
      <w:autoSpaceDE w:val="0"/>
      <w:autoSpaceDN w:val="0"/>
      <w:outlineLvl w:val="3"/>
    </w:pPr>
    <w:rPr>
      <w:b/>
      <w:bCs/>
    </w:rPr>
  </w:style>
  <w:style w:type="paragraph" w:styleId="Heading5">
    <w:name w:val="heading 5"/>
    <w:basedOn w:val="Normal"/>
    <w:next w:val="Normal"/>
    <w:link w:val="Heading5Char"/>
    <w:rsid w:val="00AC6232"/>
    <w:pPr>
      <w:keepNext/>
      <w:tabs>
        <w:tab w:val="center" w:pos="4513"/>
      </w:tabs>
      <w:suppressAutoHyphens/>
      <w:autoSpaceDE w:val="0"/>
      <w:autoSpaceDN w:val="0"/>
      <w:adjustRightInd w:val="0"/>
      <w:jc w:val="center"/>
      <w:outlineLvl w:val="4"/>
    </w:pPr>
    <w:rPr>
      <w:b/>
      <w:bCs/>
      <w:spacing w:val="-3"/>
      <w:sz w:val="28"/>
      <w:szCs w:val="28"/>
    </w:rPr>
  </w:style>
  <w:style w:type="paragraph" w:styleId="Heading6">
    <w:name w:val="heading 6"/>
    <w:basedOn w:val="Normal"/>
    <w:next w:val="Normal"/>
    <w:link w:val="Heading6Char"/>
    <w:rsid w:val="00AC6232"/>
    <w:pPr>
      <w:keepNext/>
      <w:tabs>
        <w:tab w:val="center" w:pos="4513"/>
      </w:tabs>
      <w:suppressAutoHyphens/>
      <w:autoSpaceDE w:val="0"/>
      <w:autoSpaceDN w:val="0"/>
      <w:adjustRightInd w:val="0"/>
      <w:jc w:val="center"/>
      <w:outlineLvl w:val="5"/>
    </w:pPr>
    <w:rPr>
      <w:b/>
      <w:bCs/>
      <w:spacing w:val="-3"/>
      <w:sz w:val="32"/>
      <w:szCs w:val="32"/>
    </w:rPr>
  </w:style>
  <w:style w:type="paragraph" w:styleId="Heading7">
    <w:name w:val="heading 7"/>
    <w:basedOn w:val="Normal"/>
    <w:next w:val="Normal"/>
    <w:link w:val="Heading7Char"/>
    <w:rsid w:val="00AC6232"/>
    <w:pPr>
      <w:keepNext/>
      <w:tabs>
        <w:tab w:val="center" w:pos="4513"/>
      </w:tabs>
      <w:suppressAutoHyphens/>
      <w:autoSpaceDE w:val="0"/>
      <w:autoSpaceDN w:val="0"/>
      <w:adjustRightInd w:val="0"/>
      <w:jc w:val="right"/>
      <w:outlineLvl w:val="6"/>
    </w:pPr>
    <w:rPr>
      <w:b/>
      <w:bCs/>
      <w:sz w:val="20"/>
      <w:szCs w:val="20"/>
    </w:rPr>
  </w:style>
  <w:style w:type="paragraph" w:styleId="Heading8">
    <w:name w:val="heading 8"/>
    <w:basedOn w:val="Normal"/>
    <w:next w:val="Normal"/>
    <w:link w:val="Heading8Char"/>
    <w:rsid w:val="00AC6232"/>
    <w:pPr>
      <w:outlineLvl w:val="7"/>
    </w:pPr>
    <w:rPr>
      <w:i/>
      <w:iCs/>
    </w:rPr>
  </w:style>
  <w:style w:type="paragraph" w:styleId="Heading9">
    <w:name w:val="heading 9"/>
    <w:basedOn w:val="Normal"/>
    <w:next w:val="Normal"/>
    <w:link w:val="Heading9Char"/>
    <w:rsid w:val="00AC6232"/>
    <w:pPr>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6232"/>
    <w:pPr>
      <w:spacing w:after="120"/>
    </w:pPr>
  </w:style>
  <w:style w:type="character" w:customStyle="1" w:styleId="BodyTextChar">
    <w:name w:val="Body Text Char"/>
    <w:link w:val="BodyText"/>
    <w:rsid w:val="00AC6232"/>
    <w:rPr>
      <w:rFonts w:ascii="Arial" w:hAnsi="Arial" w:cs="Arial"/>
      <w:sz w:val="24"/>
      <w:szCs w:val="22"/>
    </w:rPr>
  </w:style>
  <w:style w:type="paragraph" w:styleId="Footer">
    <w:name w:val="footer"/>
    <w:basedOn w:val="Normal"/>
    <w:link w:val="FooterChar"/>
    <w:rsid w:val="00AC6232"/>
    <w:pPr>
      <w:tabs>
        <w:tab w:val="center" w:pos="4153"/>
        <w:tab w:val="right" w:pos="8306"/>
      </w:tabs>
    </w:pPr>
    <w:rPr>
      <w:sz w:val="22"/>
    </w:rPr>
  </w:style>
  <w:style w:type="character" w:customStyle="1" w:styleId="FooterChar">
    <w:name w:val="Footer Char"/>
    <w:link w:val="Footer"/>
    <w:rsid w:val="00AC6232"/>
    <w:rPr>
      <w:rFonts w:ascii="Arial" w:hAnsi="Arial" w:cs="Arial"/>
      <w:sz w:val="22"/>
      <w:szCs w:val="22"/>
    </w:rPr>
  </w:style>
  <w:style w:type="paragraph" w:styleId="Header">
    <w:name w:val="header"/>
    <w:basedOn w:val="Normal"/>
    <w:link w:val="HeaderChar"/>
    <w:rsid w:val="00AC6232"/>
    <w:pPr>
      <w:tabs>
        <w:tab w:val="center" w:pos="4153"/>
        <w:tab w:val="right" w:pos="8306"/>
      </w:tabs>
    </w:pPr>
    <w:rPr>
      <w:sz w:val="22"/>
    </w:rPr>
  </w:style>
  <w:style w:type="character" w:customStyle="1" w:styleId="HeaderChar">
    <w:name w:val="Header Char"/>
    <w:link w:val="Header"/>
    <w:rsid w:val="00AC6232"/>
    <w:rPr>
      <w:rFonts w:ascii="Arial" w:hAnsi="Arial" w:cs="Arial"/>
      <w:sz w:val="22"/>
      <w:szCs w:val="22"/>
    </w:rPr>
  </w:style>
  <w:style w:type="character" w:customStyle="1" w:styleId="Heading1Char">
    <w:name w:val="Heading 1 Char"/>
    <w:link w:val="Heading1"/>
    <w:rsid w:val="00AC6232"/>
    <w:rPr>
      <w:rFonts w:ascii="Arial" w:hAnsi="Arial" w:cs="Arial"/>
      <w:b/>
      <w:bCs/>
      <w:kern w:val="32"/>
      <w:sz w:val="32"/>
      <w:szCs w:val="32"/>
    </w:rPr>
  </w:style>
  <w:style w:type="character" w:customStyle="1" w:styleId="Heading2Char">
    <w:name w:val="Heading 2 Char"/>
    <w:link w:val="Heading2"/>
    <w:rsid w:val="00AC6232"/>
    <w:rPr>
      <w:rFonts w:ascii="Arial" w:hAnsi="Arial" w:cs="Arial"/>
      <w:bCs/>
      <w:sz w:val="24"/>
    </w:rPr>
  </w:style>
  <w:style w:type="character" w:customStyle="1" w:styleId="Heading3Char">
    <w:name w:val="Heading 3 Char"/>
    <w:link w:val="Heading3"/>
    <w:rsid w:val="00AC6232"/>
    <w:rPr>
      <w:rFonts w:ascii="Arial" w:hAnsi="Arial" w:cs="Arial"/>
      <w:bCs/>
      <w:spacing w:val="-3"/>
      <w:sz w:val="24"/>
    </w:rPr>
  </w:style>
  <w:style w:type="character" w:customStyle="1" w:styleId="Heading4Char">
    <w:name w:val="Heading 4 Char"/>
    <w:link w:val="Heading4"/>
    <w:rsid w:val="00AC6232"/>
    <w:rPr>
      <w:rFonts w:ascii="Arial" w:hAnsi="Arial" w:cs="Arial"/>
      <w:b/>
      <w:bCs/>
      <w:sz w:val="24"/>
      <w:szCs w:val="22"/>
    </w:rPr>
  </w:style>
  <w:style w:type="character" w:customStyle="1" w:styleId="Heading5Char">
    <w:name w:val="Heading 5 Char"/>
    <w:link w:val="Heading5"/>
    <w:rsid w:val="00AC6232"/>
    <w:rPr>
      <w:rFonts w:ascii="Arial" w:hAnsi="Arial" w:cs="Arial"/>
      <w:b/>
      <w:bCs/>
      <w:spacing w:val="-3"/>
      <w:sz w:val="28"/>
      <w:szCs w:val="28"/>
    </w:rPr>
  </w:style>
  <w:style w:type="character" w:customStyle="1" w:styleId="Heading6Char">
    <w:name w:val="Heading 6 Char"/>
    <w:link w:val="Heading6"/>
    <w:rsid w:val="00AC6232"/>
    <w:rPr>
      <w:rFonts w:ascii="Arial" w:hAnsi="Arial" w:cs="Arial"/>
      <w:b/>
      <w:bCs/>
      <w:spacing w:val="-3"/>
      <w:sz w:val="32"/>
      <w:szCs w:val="32"/>
    </w:rPr>
  </w:style>
  <w:style w:type="character" w:customStyle="1" w:styleId="Heading7Char">
    <w:name w:val="Heading 7 Char"/>
    <w:link w:val="Heading7"/>
    <w:rsid w:val="00AC6232"/>
    <w:rPr>
      <w:rFonts w:ascii="Arial" w:hAnsi="Arial" w:cs="Arial"/>
      <w:b/>
      <w:bCs/>
    </w:rPr>
  </w:style>
  <w:style w:type="character" w:customStyle="1" w:styleId="Heading8Char">
    <w:name w:val="Heading 8 Char"/>
    <w:link w:val="Heading8"/>
    <w:rsid w:val="00AC6232"/>
    <w:rPr>
      <w:rFonts w:ascii="Arial" w:hAnsi="Arial" w:cs="Arial"/>
      <w:i/>
      <w:iCs/>
      <w:sz w:val="24"/>
      <w:szCs w:val="22"/>
    </w:rPr>
  </w:style>
  <w:style w:type="character" w:customStyle="1" w:styleId="Heading9Char">
    <w:name w:val="Heading 9 Char"/>
    <w:link w:val="Heading9"/>
    <w:rsid w:val="00AC6232"/>
    <w:rPr>
      <w:rFonts w:ascii="Arial" w:hAnsi="Arial" w:cs="Arial"/>
      <w:szCs w:val="22"/>
    </w:rPr>
  </w:style>
  <w:style w:type="paragraph" w:customStyle="1" w:styleId="ManualHead1">
    <w:name w:val="ManualHead1"/>
    <w:basedOn w:val="Normal"/>
    <w:rsid w:val="00AC6232"/>
    <w:pPr>
      <w:spacing w:before="240" w:after="60"/>
      <w:jc w:val="center"/>
    </w:pPr>
    <w:rPr>
      <w:b/>
      <w:sz w:val="32"/>
    </w:rPr>
  </w:style>
  <w:style w:type="paragraph" w:customStyle="1" w:styleId="ManualHead2">
    <w:name w:val="ManualHead2"/>
    <w:basedOn w:val="Normal"/>
    <w:rsid w:val="00AC6232"/>
    <w:pPr>
      <w:spacing w:before="240" w:after="60"/>
      <w:jc w:val="center"/>
    </w:pPr>
    <w:rPr>
      <w:b/>
    </w:rPr>
  </w:style>
  <w:style w:type="character" w:styleId="PageNumber">
    <w:name w:val="page number"/>
    <w:rsid w:val="00AC6232"/>
    <w:rPr>
      <w:rFonts w:ascii="Arial" w:hAnsi="Arial" w:cs="Arial"/>
      <w:b w:val="0"/>
      <w:i w:val="0"/>
      <w:sz w:val="22"/>
    </w:rPr>
  </w:style>
  <w:style w:type="paragraph" w:styleId="PlainText">
    <w:name w:val="Plain Text"/>
    <w:basedOn w:val="Normal"/>
    <w:link w:val="PlainTextChar"/>
    <w:rsid w:val="00356D86"/>
    <w:rPr>
      <w:rFonts w:ascii="Consolas" w:hAnsi="Consolas" w:cs="Consolas"/>
      <w:sz w:val="21"/>
      <w:szCs w:val="21"/>
    </w:rPr>
  </w:style>
  <w:style w:type="character" w:customStyle="1" w:styleId="PlainTextChar">
    <w:name w:val="Plain Text Char"/>
    <w:link w:val="PlainText"/>
    <w:rsid w:val="00356D86"/>
    <w:rPr>
      <w:rFonts w:ascii="Consolas" w:hAnsi="Consolas" w:cs="Consolas"/>
      <w:sz w:val="21"/>
      <w:szCs w:val="21"/>
    </w:rPr>
  </w:style>
  <w:style w:type="paragraph" w:styleId="TOC1">
    <w:name w:val="toc 1"/>
    <w:basedOn w:val="Normal"/>
    <w:next w:val="Normal"/>
    <w:autoRedefine/>
    <w:rsid w:val="00356D86"/>
    <w:pPr>
      <w:tabs>
        <w:tab w:val="right" w:pos="10762"/>
      </w:tabs>
      <w:spacing w:before="240" w:after="120"/>
    </w:pPr>
    <w:rPr>
      <w:b/>
      <w:bCs/>
      <w:caps/>
      <w:u w:val="single"/>
    </w:rPr>
  </w:style>
  <w:style w:type="paragraph" w:styleId="TOC2">
    <w:name w:val="toc 2"/>
    <w:basedOn w:val="Normal"/>
    <w:next w:val="Normal"/>
    <w:autoRedefine/>
    <w:rsid w:val="00356D86"/>
    <w:rPr>
      <w:b/>
      <w:bCs/>
      <w:smallCaps/>
    </w:rPr>
  </w:style>
  <w:style w:type="paragraph" w:styleId="TOC3">
    <w:name w:val="toc 3"/>
    <w:basedOn w:val="Normal"/>
    <w:next w:val="Normal"/>
    <w:autoRedefine/>
    <w:rsid w:val="00356D86"/>
    <w:rPr>
      <w:smallCaps/>
    </w:rPr>
  </w:style>
  <w:style w:type="paragraph" w:styleId="TOC4">
    <w:name w:val="toc 4"/>
    <w:basedOn w:val="Normal"/>
    <w:next w:val="Normal"/>
    <w:autoRedefine/>
    <w:rsid w:val="00356D86"/>
  </w:style>
  <w:style w:type="paragraph" w:styleId="TOC5">
    <w:name w:val="toc 5"/>
    <w:basedOn w:val="Normal"/>
    <w:next w:val="Normal"/>
    <w:autoRedefine/>
    <w:rsid w:val="00356D86"/>
  </w:style>
  <w:style w:type="paragraph" w:styleId="TOC6">
    <w:name w:val="toc 6"/>
    <w:basedOn w:val="Normal"/>
    <w:next w:val="Normal"/>
    <w:autoRedefine/>
    <w:rsid w:val="00356D86"/>
  </w:style>
  <w:style w:type="paragraph" w:styleId="TOC7">
    <w:name w:val="toc 7"/>
    <w:basedOn w:val="Normal"/>
    <w:next w:val="Normal"/>
    <w:autoRedefine/>
    <w:rsid w:val="00356D86"/>
  </w:style>
  <w:style w:type="paragraph" w:styleId="TOC8">
    <w:name w:val="toc 8"/>
    <w:basedOn w:val="Normal"/>
    <w:next w:val="Normal"/>
    <w:autoRedefine/>
    <w:rsid w:val="00356D86"/>
  </w:style>
  <w:style w:type="paragraph" w:styleId="TOC9">
    <w:name w:val="toc 9"/>
    <w:basedOn w:val="Normal"/>
    <w:next w:val="Normal"/>
    <w:autoRedefine/>
    <w:rsid w:val="00356D86"/>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A14A9B"/>
    <w:pPr>
      <w:ind w:left="720"/>
    </w:pPr>
    <w:rPr>
      <w:rFonts w:cs="Times New Roman"/>
      <w:szCs w:val="20"/>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basedOn w:val="DefaultParagraphFont"/>
    <w:link w:val="ListParagraph"/>
    <w:uiPriority w:val="34"/>
    <w:qFormat/>
    <w:rsid w:val="00A14A9B"/>
    <w:rPr>
      <w:rFonts w:ascii="Arial" w:hAnsi="Arial" w:cs="Times New Roman"/>
      <w:sz w:val="24"/>
      <w:lang w:val="en-GB" w:eastAsia="en-GB"/>
    </w:rPr>
  </w:style>
  <w:style w:type="table" w:styleId="TableGrid">
    <w:name w:val="Table Grid"/>
    <w:basedOn w:val="TableNormal"/>
    <w:uiPriority w:val="59"/>
    <w:rsid w:val="00D239B1"/>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D239B1"/>
    <w:pPr>
      <w:spacing w:after="200"/>
    </w:pPr>
    <w:rPr>
      <w:rFonts w:cs="Times New Roman"/>
      <w:i/>
      <w:iCs/>
      <w:color w:val="44546A" w:themeColor="text2"/>
      <w:sz w:val="18"/>
      <w:szCs w:val="18"/>
    </w:rPr>
  </w:style>
  <w:style w:type="paragraph" w:styleId="BalloonText">
    <w:name w:val="Balloon Text"/>
    <w:basedOn w:val="Normal"/>
    <w:link w:val="BalloonTextChar"/>
    <w:uiPriority w:val="99"/>
    <w:semiHidden/>
    <w:unhideWhenUsed/>
    <w:rsid w:val="00B2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10F"/>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2367EF"/>
    <w:rPr>
      <w:sz w:val="16"/>
      <w:szCs w:val="16"/>
    </w:rPr>
  </w:style>
  <w:style w:type="paragraph" w:styleId="CommentText">
    <w:name w:val="annotation text"/>
    <w:basedOn w:val="Normal"/>
    <w:link w:val="CommentTextChar"/>
    <w:uiPriority w:val="99"/>
    <w:semiHidden/>
    <w:unhideWhenUsed/>
    <w:rsid w:val="002367EF"/>
    <w:rPr>
      <w:sz w:val="20"/>
      <w:szCs w:val="20"/>
    </w:rPr>
  </w:style>
  <w:style w:type="character" w:customStyle="1" w:styleId="CommentTextChar">
    <w:name w:val="Comment Text Char"/>
    <w:basedOn w:val="DefaultParagraphFont"/>
    <w:link w:val="CommentText"/>
    <w:uiPriority w:val="99"/>
    <w:semiHidden/>
    <w:rsid w:val="002367EF"/>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2367EF"/>
    <w:rPr>
      <w:b/>
      <w:bCs/>
    </w:rPr>
  </w:style>
  <w:style w:type="character" w:customStyle="1" w:styleId="CommentSubjectChar">
    <w:name w:val="Comment Subject Char"/>
    <w:basedOn w:val="CommentTextChar"/>
    <w:link w:val="CommentSubject"/>
    <w:uiPriority w:val="99"/>
    <w:semiHidden/>
    <w:rsid w:val="002367EF"/>
    <w:rPr>
      <w:rFonts w:ascii="Arial" w:hAnsi="Arial"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Alex Dewsnap</cp:lastModifiedBy>
  <cp:revision>2</cp:revision>
  <dcterms:created xsi:type="dcterms:W3CDTF">2021-11-10T18:56:00Z</dcterms:created>
  <dcterms:modified xsi:type="dcterms:W3CDTF">2021-11-10T18:56:00Z</dcterms:modified>
</cp:coreProperties>
</file>